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ind w:left="0" w:right="0"/>
      </w:pPr>
    </w:p>
    <w:p>
      <w:pPr>
        <w:sectPr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26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auto"/>
        <w:ind w:left="4904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FIŞA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2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DISCIPLINEI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83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Date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despre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6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program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46" w:lineRule="exact"/>
        <w:ind w:left="0" w:right="0"/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3173"/>
        <w:gridCol w:w="6867"/>
      </w:tblGrid>
      <w:tr>
        <w:trPr>
          <w:trHeight w:val="643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1" w:after="0" w:line="273" w:lineRule="auto"/>
              <w:ind w:left="103" w:right="376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Instituţia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învăţământ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super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ior</w:t>
            </w:r>
          </w:p>
        </w:tc>
        <w:tc>
          <w:tcPr>
            <w:tcW w:w="68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Univer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tatea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Babeş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Bolyai,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Cluj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Napoca</w:t>
            </w:r>
          </w:p>
        </w:tc>
      </w:tr>
      <w:tr>
        <w:trPr>
          <w:trHeight w:val="328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Facultatea</w:t>
            </w:r>
          </w:p>
        </w:tc>
        <w:tc>
          <w:tcPr>
            <w:tcW w:w="68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4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Facultatea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Inginerie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Chimică</w:t>
            </w:r>
          </w:p>
        </w:tc>
      </w:tr>
      <w:tr>
        <w:trPr>
          <w:trHeight w:val="326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Scoala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Doctorala</w:t>
            </w:r>
          </w:p>
        </w:tc>
        <w:tc>
          <w:tcPr>
            <w:tcW w:w="68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Chi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mie</w:t>
            </w:r>
          </w:p>
        </w:tc>
      </w:tr>
      <w:tr>
        <w:trPr>
          <w:trHeight w:val="328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Domeniul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studii</w:t>
            </w:r>
          </w:p>
        </w:tc>
        <w:tc>
          <w:tcPr>
            <w:tcW w:w="68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Chi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mie</w:t>
            </w:r>
          </w:p>
        </w:tc>
      </w:tr>
      <w:tr>
        <w:trPr>
          <w:trHeight w:val="326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Ciclul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68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Doct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orat</w:t>
            </w:r>
          </w:p>
        </w:tc>
      </w:tr>
      <w:tr>
        <w:trPr>
          <w:trHeight w:val="655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75" w:lineRule="auto"/>
              <w:ind w:left="103" w:right="568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Programul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Ca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lificarea</w:t>
            </w:r>
          </w:p>
        </w:tc>
        <w:tc>
          <w:tcPr>
            <w:tcW w:w="68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Doct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orat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84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Date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despre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4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disciplină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48" w:lineRule="exact"/>
        <w:ind w:left="0" w:right="0"/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1990"/>
        <w:gridCol w:w="391"/>
        <w:gridCol w:w="432"/>
        <w:gridCol w:w="1080"/>
        <w:gridCol w:w="180"/>
        <w:gridCol w:w="360"/>
        <w:gridCol w:w="2160"/>
        <w:gridCol w:w="540"/>
        <w:gridCol w:w="2340"/>
        <w:gridCol w:w="552"/>
      </w:tblGrid>
      <w:tr>
        <w:trPr>
          <w:trHeight w:val="326" w:hRule="exact"/>
        </w:trPr>
        <w:tc>
          <w:tcPr>
            <w:tcW w:w="2813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Denumirea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disciplinei</w:t>
            </w:r>
          </w:p>
        </w:tc>
        <w:tc>
          <w:tcPr>
            <w:tcW w:w="7213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1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RMN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difracţie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raze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organometalică</w:t>
            </w:r>
          </w:p>
        </w:tc>
      </w:tr>
      <w:tr>
        <w:trPr>
          <w:trHeight w:val="326" w:hRule="exact"/>
        </w:trPr>
        <w:tc>
          <w:tcPr>
            <w:tcW w:w="4073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Titularul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activităţilor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curs</w:t>
            </w:r>
          </w:p>
        </w:tc>
        <w:tc>
          <w:tcPr>
            <w:tcW w:w="5953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Prof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Cristian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SILVESTRU</w:t>
            </w:r>
          </w:p>
        </w:tc>
      </w:tr>
      <w:tr>
        <w:trPr>
          <w:trHeight w:val="328" w:hRule="exact"/>
        </w:trPr>
        <w:tc>
          <w:tcPr>
            <w:tcW w:w="4073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Titularul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ivităţilor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seminar</w:t>
            </w:r>
          </w:p>
        </w:tc>
        <w:tc>
          <w:tcPr>
            <w:tcW w:w="5953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Acad.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Prof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Cristian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SILVESTRU</w:t>
            </w:r>
          </w:p>
        </w:tc>
      </w:tr>
      <w:tr>
        <w:trPr>
          <w:trHeight w:val="340" w:hRule="exact"/>
        </w:trPr>
        <w:tc>
          <w:tcPr>
            <w:tcW w:w="199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studiu</w:t>
            </w:r>
          </w:p>
        </w:tc>
        <w:tc>
          <w:tcPr>
            <w:tcW w:w="39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I</w:t>
            </w:r>
          </w:p>
        </w:tc>
        <w:tc>
          <w:tcPr>
            <w:tcW w:w="1512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2.5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Semestrul</w:t>
            </w:r>
          </w:p>
        </w:tc>
        <w:tc>
          <w:tcPr>
            <w:tcW w:w="54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II</w:t>
            </w:r>
          </w:p>
        </w:tc>
        <w:tc>
          <w:tcPr>
            <w:tcW w:w="216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2.6.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Tipul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evaluare</w:t>
            </w:r>
          </w:p>
        </w:tc>
        <w:tc>
          <w:tcPr>
            <w:tcW w:w="5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E#</w:t>
            </w:r>
          </w:p>
        </w:tc>
        <w:tc>
          <w:tcPr>
            <w:tcW w:w="23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6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Regimul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disciplinei</w:t>
            </w:r>
          </w:p>
        </w:tc>
        <w:tc>
          <w:tcPr>
            <w:tcW w:w="55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Op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auto"/>
        <w:ind w:left="720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doctorandul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poate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opta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pentru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participare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la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activitati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fara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examen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sau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-6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examen</w:t>
      </w:r>
    </w:p>
    <w:p>
      <w:pPr>
        <w:spacing w:before="0" w:after="0" w:line="381" w:lineRule="exact"/>
        <w:ind w:left="0" w:right="0"/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Timpul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total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estim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ore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semestru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al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activităţilor</w:t>
      </w:r>
      <w:r>
        <w:rPr>
          <w:rFonts w:ascii="Times New Roman" w:hAnsi="Times New Roman" w:cs="Times New Roman" w:eastAsia="Times New Roman"/>
          <w:sz w:val="24"/>
          <w:szCs w:val="24"/>
          <w:spacing w:val="-5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didactice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)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41" w:lineRule="exact"/>
        <w:ind w:left="0" w:right="0"/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3795"/>
        <w:gridCol w:w="458"/>
        <w:gridCol w:w="115"/>
        <w:gridCol w:w="965"/>
        <w:gridCol w:w="1137"/>
        <w:gridCol w:w="591"/>
        <w:gridCol w:w="2232"/>
        <w:gridCol w:w="751"/>
      </w:tblGrid>
      <w:tr>
        <w:trPr>
          <w:trHeight w:val="333" w:hRule="exact"/>
        </w:trPr>
        <w:tc>
          <w:tcPr>
            <w:tcW w:w="379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Număr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săptămână</w:t>
            </w:r>
          </w:p>
        </w:tc>
        <w:tc>
          <w:tcPr>
            <w:tcW w:w="57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3</w:t>
            </w:r>
          </w:p>
        </w:tc>
        <w:tc>
          <w:tcPr>
            <w:tcW w:w="2102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curs</w:t>
            </w:r>
          </w:p>
        </w:tc>
        <w:tc>
          <w:tcPr>
            <w:tcW w:w="59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  <w:tc>
          <w:tcPr>
            <w:tcW w:w="223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3.3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seminar</w:t>
            </w:r>
          </w:p>
        </w:tc>
        <w:tc>
          <w:tcPr>
            <w:tcW w:w="7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2</w:t>
            </w:r>
          </w:p>
        </w:tc>
      </w:tr>
      <w:tr>
        <w:trPr>
          <w:trHeight w:val="326" w:hRule="exact"/>
        </w:trPr>
        <w:tc>
          <w:tcPr>
            <w:tcW w:w="379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3.4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Total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planul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1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învăţământ</w:t>
            </w:r>
          </w:p>
        </w:tc>
        <w:tc>
          <w:tcPr>
            <w:tcW w:w="57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  <w:highlight w:val="lightGray"/>
              </w:rPr>
              <w:t>36</w:t>
            </w:r>
          </w:p>
        </w:tc>
        <w:tc>
          <w:tcPr>
            <w:tcW w:w="2102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curs</w:t>
            </w:r>
          </w:p>
        </w:tc>
        <w:tc>
          <w:tcPr>
            <w:tcW w:w="59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12</w:t>
            </w:r>
          </w:p>
        </w:tc>
        <w:tc>
          <w:tcPr>
            <w:tcW w:w="223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3.6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seminar</w:t>
            </w:r>
          </w:p>
        </w:tc>
        <w:tc>
          <w:tcPr>
            <w:tcW w:w="7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24</w:t>
            </w:r>
          </w:p>
        </w:tc>
      </w:tr>
      <w:tr>
        <w:trPr>
          <w:trHeight w:val="326" w:hRule="exact"/>
        </w:trPr>
        <w:tc>
          <w:tcPr>
            <w:tcW w:w="9295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Distribuţia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fondului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timp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ore</w:t>
            </w:r>
          </w:p>
        </w:tc>
      </w:tr>
      <w:tr>
        <w:trPr>
          <w:trHeight w:val="329" w:hRule="exact"/>
        </w:trPr>
        <w:tc>
          <w:tcPr>
            <w:tcW w:w="9295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după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manual,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supo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curs,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bibliografie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notiţe</w:t>
            </w:r>
          </w:p>
        </w:tc>
        <w:tc>
          <w:tcPr>
            <w:tcW w:w="7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0</w:t>
            </w:r>
          </w:p>
        </w:tc>
      </w:tr>
      <w:tr>
        <w:trPr>
          <w:trHeight w:val="326" w:hRule="exact"/>
        </w:trPr>
        <w:tc>
          <w:tcPr>
            <w:tcW w:w="9295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1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Documentare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suplimentară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bibliotecă,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platformele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electronice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specialitate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teren</w:t>
            </w:r>
          </w:p>
        </w:tc>
        <w:tc>
          <w:tcPr>
            <w:tcW w:w="7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0</w:t>
            </w:r>
          </w:p>
        </w:tc>
      </w:tr>
      <w:tr>
        <w:trPr>
          <w:trHeight w:val="328" w:hRule="exact"/>
        </w:trPr>
        <w:tc>
          <w:tcPr>
            <w:tcW w:w="9295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1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Pregătire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seminarii/laboratoare,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teme,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referate,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portofolii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eseuri</w:t>
            </w:r>
          </w:p>
        </w:tc>
        <w:tc>
          <w:tcPr>
            <w:tcW w:w="7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44</w:t>
            </w:r>
          </w:p>
        </w:tc>
      </w:tr>
      <w:tr>
        <w:trPr>
          <w:trHeight w:val="326" w:hRule="exact"/>
        </w:trPr>
        <w:tc>
          <w:tcPr>
            <w:tcW w:w="9295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Tutor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iat</w:t>
            </w:r>
          </w:p>
        </w:tc>
        <w:tc>
          <w:tcPr>
            <w:tcW w:w="7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30</w:t>
            </w:r>
          </w:p>
        </w:tc>
      </w:tr>
      <w:tr>
        <w:trPr>
          <w:trHeight w:val="326" w:hRule="exact"/>
        </w:trPr>
        <w:tc>
          <w:tcPr>
            <w:tcW w:w="9295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1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Exam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inări</w:t>
            </w:r>
          </w:p>
        </w:tc>
        <w:tc>
          <w:tcPr>
            <w:tcW w:w="7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328" w:hRule="exact"/>
        </w:trPr>
        <w:tc>
          <w:tcPr>
            <w:tcW w:w="9295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Alte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activităţi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..................</w:t>
            </w:r>
          </w:p>
        </w:tc>
        <w:tc>
          <w:tcPr>
            <w:tcW w:w="7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-</w:t>
            </w:r>
          </w:p>
        </w:tc>
      </w:tr>
      <w:tr>
        <w:trPr>
          <w:trHeight w:val="326" w:hRule="exact"/>
        </w:trPr>
        <w:tc>
          <w:tcPr>
            <w:tcW w:w="425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individual</w:t>
            </w:r>
          </w:p>
        </w:tc>
        <w:tc>
          <w:tcPr>
            <w:tcW w:w="108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314</w:t>
            </w:r>
          </w:p>
        </w:tc>
        <w:tc>
          <w:tcPr>
            <w:tcW w:w="4712" w:type="dxa"/>
            <w:gridSpan w:val="4"/>
            <w:vMerge w:val="restart"/>
            <w:tcBorders>
              <w:left w:space="0" w:color="000000" w:val="single" w:sz="3"/>
              <w:top w:space="0" w:color="000000" w:val="single" w:sz="3"/>
              <w:right w:space="0" w:color="auto" w:val="nil" w:sz="0"/>
              <w:bottom w:space="0" w:color="auto" w:val="nil" w:sz="0"/>
            </w:tcBorders>
          </w:tcPr>
          <w:p>
            <w:pPr/>
          </w:p>
        </w:tc>
      </w:tr>
      <w:tr>
        <w:trPr>
          <w:trHeight w:val="328" w:hRule="exact"/>
        </w:trPr>
        <w:tc>
          <w:tcPr>
            <w:tcW w:w="425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semestru</w:t>
            </w:r>
          </w:p>
        </w:tc>
        <w:tc>
          <w:tcPr>
            <w:tcW w:w="108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50</w:t>
            </w:r>
          </w:p>
        </w:tc>
        <w:tc>
          <w:tcPr>
            <w:tcW w:w="4712" w:type="dxa"/>
            <w:gridSpan w:val="4"/>
            <w:vMerge/>
            <w:tcBorders>
              <w:left w:space="0" w:color="000000" w:val="single" w:sz="3"/>
              <w:top w:space="0" w:color="000000" w:val="single" w:sz="3"/>
              <w:right w:space="0" w:color="auto" w:val="nil" w:sz="0"/>
              <w:bottom w:space="0" w:color="auto" w:val="nil" w:sz="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425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Numărul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credite</w:t>
            </w:r>
          </w:p>
        </w:tc>
        <w:tc>
          <w:tcPr>
            <w:tcW w:w="108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4</w:t>
            </w:r>
          </w:p>
        </w:tc>
        <w:tc>
          <w:tcPr>
            <w:tcW w:w="4712" w:type="dxa"/>
            <w:gridSpan w:val="4"/>
            <w:vMerge/>
            <w:tcBorders>
              <w:left w:space="0" w:color="000000" w:val="single" w:sz="3"/>
              <w:top w:space="0" w:color="000000" w:val="single" w:sz="3"/>
              <w:right w:space="0" w:color="auto" w:val="nil" w:sz="0"/>
              <w:bottom w:space="0" w:color="auto" w:val="nil" w:sz="0"/>
            </w:tcBorders>
          </w:tcPr>
          <w:p>
            <w:pPr/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86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Precondiţii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acolo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unde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este</w:t>
      </w:r>
      <w:r>
        <w:rPr>
          <w:rFonts w:ascii="Times New Roman" w:hAnsi="Times New Roman" w:cs="Times New Roman" w:eastAsia="Times New Roman"/>
          <w:sz w:val="24"/>
          <w:szCs w:val="24"/>
          <w:spacing w:val="-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cazul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)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47" w:lineRule="exact"/>
        <w:ind w:left="0" w:right="0"/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993"/>
        <w:gridCol w:w="7710"/>
      </w:tblGrid>
      <w:tr>
        <w:trPr>
          <w:trHeight w:val="343" w:hRule="exact"/>
        </w:trPr>
        <w:tc>
          <w:tcPr>
            <w:tcW w:w="29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curriculum</w:t>
            </w:r>
          </w:p>
        </w:tc>
        <w:tc>
          <w:tcPr>
            <w:tcW w:w="771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tabs>
                <w:tab w:val="left" w:pos="880"/>
              </w:tabs>
              <w:spacing w:before="0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cazul</w:t>
            </w:r>
          </w:p>
        </w:tc>
      </w:tr>
      <w:tr>
        <w:trPr>
          <w:trHeight w:val="355" w:hRule="exact"/>
        </w:trPr>
        <w:tc>
          <w:tcPr>
            <w:tcW w:w="29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4.2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competenţe</w:t>
            </w:r>
          </w:p>
        </w:tc>
        <w:tc>
          <w:tcPr>
            <w:tcW w:w="771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tabs>
                <w:tab w:val="left" w:pos="880"/>
              </w:tabs>
              <w:spacing w:before="0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cazul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86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Condiţii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acolo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unde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este</w:t>
      </w:r>
      <w:r>
        <w:rPr>
          <w:rFonts w:ascii="Times New Roman" w:hAnsi="Times New Roman" w:cs="Times New Roman" w:eastAsia="Times New Roman"/>
          <w:sz w:val="24"/>
          <w:szCs w:val="24"/>
          <w:spacing w:val="-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ca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zul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)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176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098"/>
        <w:gridCol w:w="8606"/>
      </w:tblGrid>
      <w:tr>
        <w:trPr>
          <w:trHeight w:val="1183" w:hRule="exact"/>
        </w:trPr>
        <w:tc>
          <w:tcPr>
            <w:tcW w:w="209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133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5.1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desfăşurare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cursului</w:t>
            </w:r>
          </w:p>
        </w:tc>
        <w:tc>
          <w:tcPr>
            <w:tcW w:w="860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•</w:t>
            </w:r>
            <w:r>
              <w:rPr>
                <w:rFonts w:ascii="Symbol" w:hAnsi="Symbol" w:cs="Symbol" w:eastAsia="Symbol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Cursurile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seminariile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desfasoara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conditii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internet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</w:t>
            </w: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•</w:t>
            </w:r>
            <w:r>
              <w:rPr>
                <w:rFonts w:ascii="Symbol" w:hAnsi="Symbol" w:cs="Symbol" w:eastAsia="Symbol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Studentii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vor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avea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(baze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ab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onate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facultate/universitate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)</w:t>
            </w:r>
          </w:p>
          <w:p>
            <w:pPr>
              <w:spacing w:before="1" w:after="0" w:line="240" w:lineRule="auto"/>
              <w:ind w:left="98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•</w:t>
            </w:r>
            <w:r>
              <w:rPr>
                <w:rFonts w:ascii="Symbol" w:hAnsi="Symbol" w:cs="Symbol" w:eastAsia="Symbol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stimula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participarea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interactiva</w:t>
            </w: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•</w:t>
            </w:r>
            <w:r>
              <w:rPr>
                <w:rFonts w:ascii="Symbol" w:hAnsi="Symbol" w:cs="Symbol" w:eastAsia="Symbol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Studenţii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vor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prezenta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telefoanele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mobile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închise</w:t>
            </w:r>
          </w:p>
        </w:tc>
      </w:tr>
      <w:tr>
        <w:trPr>
          <w:trHeight w:val="571" w:hRule="exact"/>
        </w:trPr>
        <w:tc>
          <w:tcPr>
            <w:tcW w:w="209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133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5.2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desfăşurare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seminarului</w:t>
            </w:r>
          </w:p>
        </w:tc>
        <w:tc>
          <w:tcPr>
            <w:tcW w:w="860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•</w:t>
            </w:r>
            <w:r>
              <w:rPr>
                <w:rFonts w:ascii="Symbol" w:hAnsi="Symbol" w:cs="Symbol" w:eastAsia="Symbol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Studenţii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vor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prezenta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seminar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telefoanele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mobile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închise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ict>
      <w10:wrap type="none"/>
      <v:shapetype id="_x0000_t202" o:spt="202" coordsize="21600,21600" path="m,l,21600r21600,l21600,xe">
        <v:stroke joinstyle="miter"/>
        <v:path gradientshapeok="t" o:connecttype="rect"/>
      </v:shapetype>
      <v:shape style="position:absolute;margin-left:45.970pt;margin-top:147.247pt;width:13.289pt;height:129.522pt;mso-position-horizontal-relative:page;mso-position-vertical-relative:page;z-index:0" type="#_x0000_t202" filled="f" stroked="f">
        <v:textbox inset="0,0,0,0" style="layout-flow:vertical;mso-layout-flow-alt:bottom-to-top">
          <w:txbxContent>
            <w:p>
              <w:pPr>
                <w:spacing w:before="0" w:after="0" w:line="240" w:lineRule="auto"/>
                <w:ind w:left="0" w:right="0" w:firstLine="0"/>
              </w:pPr>
              <w:r>
                <w:rPr>
                  <w:rFonts w:ascii="Times New Roman" w:hAnsi="Times New Roman" w:cs="Times New Roman" w:eastAsia="Times New Roman"/>
                  <w:b/>
                  <w:color w:val="000000"/>
                  <w:sz w:val="24"/>
                  <w:szCs w:val="24"/>
                </w:rPr>
                <w:t>Competenţe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b/>
                  <w:spacing w:val="-11"/>
                </w:rPr>
                <w:t> </w:t>
              </w:r>
              <w:r>
                <w:rPr>
                  <w:rFonts w:ascii="Times New Roman" w:hAnsi="Times New Roman" w:cs="Times New Roman" w:eastAsia="Times New Roman"/>
                  <w:b/>
                  <w:color w:val="000000"/>
                  <w:sz w:val="24"/>
                  <w:szCs w:val="24"/>
                </w:rPr>
                <w:t>profesionale</w:t>
              </w:r>
            </w:p>
          </w:txbxContent>
        </v:textbox>
      </v:shape>
    </w:pict>
    <w:pict>
      <w10:wrap type="none"/>
      <v:shapetype id="_x0000_t202" o:spt="202" coordsize="21600,21600" path="m,l,21600r21600,l21600,xe">
        <v:stroke joinstyle="miter"/>
        <v:path gradientshapeok="t" o:connecttype="rect"/>
      </v:shapetype>
      <v:shape style="position:absolute;margin-left:36.706pt;margin-top:396.879pt;width:13.289pt;height:129.510pt;mso-position-horizontal-relative:page;mso-position-vertical-relative:page;z-index:0" type="#_x0000_t202" filled="f" stroked="f">
        <v:textbox inset="0,0,0,0" style="layout-flow:vertical;mso-layout-flow-alt:bottom-to-top">
          <w:txbxContent>
            <w:p>
              <w:pPr>
                <w:spacing w:before="0" w:after="0" w:line="240" w:lineRule="auto"/>
                <w:ind w:left="0" w:right="0" w:firstLine="0"/>
              </w:pPr>
              <w:r>
                <w:rPr>
                  <w:rFonts w:ascii="Times New Roman" w:hAnsi="Times New Roman" w:cs="Times New Roman" w:eastAsia="Times New Roman"/>
                  <w:b/>
                  <w:color w:val="000000"/>
                  <w:sz w:val="24"/>
                  <w:szCs w:val="24"/>
                </w:rPr>
                <w:t>Competenţe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b/>
                  <w:spacing w:val="-11"/>
                </w:rPr>
                <w:t> </w:t>
              </w:r>
              <w:r>
                <w:rPr>
                  <w:rFonts w:ascii="Times New Roman" w:hAnsi="Times New Roman" w:cs="Times New Roman" w:eastAsia="Times New Roman"/>
                  <w:b/>
                  <w:color w:val="000000"/>
                  <w:sz w:val="24"/>
                  <w:szCs w:val="24"/>
                </w:rPr>
                <w:t>transversale</w:t>
              </w:r>
            </w:p>
          </w:txbxContent>
        </v:textbox>
      </v:shape>
    </w:pict>
    <w:p>
      <w:pPr>
        <w:spacing w:before="0" w:after="0" w:line="200" w:lineRule="exact"/>
        <w:ind w:left="0" w:right="0"/>
      </w:pPr>
    </w:p>
    <w:p>
      <w:pPr>
        <w:sectPr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15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6.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Competenţele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specifice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4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acumulate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1013"/>
        <w:gridCol w:w="9690"/>
      </w:tblGrid>
      <w:tr>
        <w:trPr>
          <w:trHeight w:val="6514" w:hRule="exact"/>
        </w:trPr>
        <w:tc>
          <w:tcPr>
            <w:tcW w:w="10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/>
          </w:p>
        </w:tc>
        <w:tc>
          <w:tcPr>
            <w:tcW w:w="969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tabs>
                <w:tab w:val="left" w:pos="880"/>
              </w:tabs>
              <w:spacing w:before="0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efinirea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însușirea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noțiunilor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conce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ptelor,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teoriilor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modelelor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bază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utilizate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</w:p>
          <w:p>
            <w:pPr>
              <w:spacing w:before="2" w:after="0" w:line="240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analiza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structurala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Rezonanța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Magnetică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Nucleară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(RMN),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respectiv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Difracție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</w:p>
          <w:p>
            <w:pPr>
              <w:spacing w:before="0" w:after="0" w:line="237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Raze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Monocristal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specifice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adecvată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comunicarea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profesională</w:t>
            </w:r>
          </w:p>
          <w:p>
            <w:pPr>
              <w:tabs>
                <w:tab w:val="left" w:pos="880"/>
              </w:tabs>
              <w:spacing w:before="0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cunoştinţelor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aprofund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domeniul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explicarea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</w:p>
          <w:p>
            <w:pPr>
              <w:spacing w:before="2" w:after="0" w:line="240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RMN,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respectiv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analiza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structurală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compușilor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anorganici</w:t>
            </w:r>
          </w:p>
          <w:p>
            <w:pPr>
              <w:spacing w:before="0" w:after="0" w:line="236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(inclusiv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coordinativi)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organometalici</w:t>
            </w:r>
          </w:p>
          <w:p>
            <w:pPr>
              <w:tabs>
                <w:tab w:val="left" w:pos="880"/>
              </w:tabs>
              <w:spacing w:before="0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Procesarea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spectroscopice</w:t>
            </w:r>
          </w:p>
          <w:p>
            <w:pPr>
              <w:tabs>
                <w:tab w:val="left" w:pos="880"/>
              </w:tabs>
              <w:spacing w:before="1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Dezvoltarea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abilității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deter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structura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moleculară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soluție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solidă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</w:p>
          <w:p>
            <w:pPr>
              <w:spacing w:before="6" w:after="0" w:line="240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compușilor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anorganici,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organici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organometalici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ajutorul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obținute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</w:t>
            </w:r>
          </w:p>
          <w:p>
            <w:pPr>
              <w:spacing w:before="0" w:after="0" w:line="233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spectrele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RMN</w:t>
            </w:r>
          </w:p>
          <w:p>
            <w:pPr>
              <w:tabs>
                <w:tab w:val="left" w:pos="880"/>
              </w:tabs>
              <w:spacing w:before="0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spectroscopiei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RMN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solutie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studierea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sistemelor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dinamice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(inclusiv</w:t>
            </w:r>
          </w:p>
          <w:p>
            <w:pPr>
              <w:spacing w:before="0" w:after="0" w:line="238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fl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uxionale)</w:t>
            </w:r>
          </w:p>
          <w:p>
            <w:pPr>
              <w:tabs>
                <w:tab w:val="left" w:pos="880"/>
              </w:tabs>
              <w:spacing w:before="1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Abilita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utiliza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structurale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compușilor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anorganici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(inclusiv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coordinativi),</w:t>
            </w:r>
          </w:p>
          <w:p>
            <w:pPr>
              <w:spacing w:before="0" w:after="0" w:line="238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organici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organometalici,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obținute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difracție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raze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monocristal</w:t>
            </w:r>
          </w:p>
          <w:p>
            <w:pPr>
              <w:tabs>
                <w:tab w:val="left" w:pos="880"/>
              </w:tabs>
              <w:spacing w:before="1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difracție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raze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monocristal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identificarea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aspecte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</w:t>
            </w:r>
          </w:p>
          <w:p>
            <w:pPr>
              <w:spacing w:before="0" w:after="0" w:line="239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dom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eniul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himiei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supramoleculare</w:t>
            </w:r>
          </w:p>
          <w:p>
            <w:pPr>
              <w:tabs>
                <w:tab w:val="left" w:pos="880"/>
              </w:tabs>
              <w:spacing w:before="0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softurilor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specifice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prelucrarea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RMN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difracție</w:t>
            </w:r>
          </w:p>
          <w:p>
            <w:pPr>
              <w:spacing w:before="0" w:after="0" w:line="238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raze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monocristal</w:t>
            </w:r>
          </w:p>
          <w:p>
            <w:pPr>
              <w:tabs>
                <w:tab w:val="left" w:pos="880"/>
              </w:tabs>
              <w:spacing w:before="1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Abilitatea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întelege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complementare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caracterizarea</w:t>
            </w:r>
          </w:p>
          <w:p>
            <w:pPr>
              <w:spacing w:before="4" w:after="0" w:line="240" w:lineRule="auto"/>
              <w:ind w:left="880" w:right="183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compușilor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anorganici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(inclu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coordinativi),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organici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organometalici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exprima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argumenta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corelării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rezultatelor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comparării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literatura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specialitate</w:t>
            </w:r>
          </w:p>
        </w:tc>
      </w:tr>
      <w:tr>
        <w:trPr>
          <w:trHeight w:val="3146" w:hRule="exact"/>
        </w:trPr>
        <w:tc>
          <w:tcPr>
            <w:tcW w:w="10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/>
          </w:p>
        </w:tc>
        <w:tc>
          <w:tcPr>
            <w:tcW w:w="969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tabs>
                <w:tab w:val="left" w:pos="880"/>
              </w:tabs>
              <w:spacing w:before="0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Executarea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sarcinilor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solicitate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conform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cerintel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precizate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termenele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impuse,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</w:t>
            </w:r>
          </w:p>
          <w:p>
            <w:pPr>
              <w:spacing w:before="2" w:after="0" w:line="240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respectarea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normelor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profesionala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conduita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morala,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urmând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plan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lucru</w:t>
            </w:r>
          </w:p>
          <w:p>
            <w:pPr>
              <w:spacing w:before="0" w:after="0" w:line="236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pr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estabilit</w:t>
            </w:r>
          </w:p>
          <w:p>
            <w:pPr>
              <w:tabs>
                <w:tab w:val="left" w:pos="880"/>
              </w:tabs>
              <w:spacing w:before="0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Rezolvarea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sarcinilor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solictate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concordanta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obiectivele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generale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stabilite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</w:t>
            </w:r>
          </w:p>
          <w:p>
            <w:pPr>
              <w:spacing w:before="0" w:after="0" w:line="239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integrarea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cadrul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lucru</w:t>
            </w:r>
          </w:p>
          <w:p>
            <w:pPr>
              <w:tabs>
                <w:tab w:val="left" w:pos="880"/>
              </w:tabs>
              <w:spacing w:before="0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Informarea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documentarea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limba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română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într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limbă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circulație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internațională,</w:t>
            </w:r>
          </w:p>
          <w:p>
            <w:pPr>
              <w:spacing w:before="6" w:after="0" w:line="240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moderne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informare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comunicare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(soft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specific,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căutare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baze</w:t>
            </w:r>
          </w:p>
          <w:p>
            <w:pPr>
              <w:spacing w:before="0" w:after="0" w:line="233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date)</w:t>
            </w:r>
          </w:p>
          <w:p>
            <w:pPr>
              <w:tabs>
                <w:tab w:val="left" w:pos="880"/>
              </w:tabs>
              <w:spacing w:before="0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Preocuparea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perfecţionarea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rezultatelor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activităţii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profesio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implicarea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</w:p>
          <w:p>
            <w:pPr>
              <w:spacing w:before="0" w:after="0" w:line="238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activităţile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desfăşurate</w:t>
            </w:r>
          </w:p>
          <w:p>
            <w:pPr>
              <w:tabs>
                <w:tab w:val="left" w:pos="880"/>
              </w:tabs>
              <w:spacing w:before="1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Abilitatea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întocmi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referate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scrise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susţine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public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aceste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referate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2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7.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Obiectivele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disciplinei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(reieşind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din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grila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competenţelor</w:t>
      </w:r>
      <w:r>
        <w:rPr>
          <w:rFonts w:ascii="Times New Roman" w:hAnsi="Times New Roman" w:cs="Times New Roman" w:eastAsia="Times New Roman"/>
          <w:sz w:val="24"/>
          <w:szCs w:val="24"/>
          <w:spacing w:val="-5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acumulate)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33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993"/>
        <w:gridCol w:w="7710"/>
      </w:tblGrid>
      <w:tr>
        <w:trPr>
          <w:trHeight w:val="580" w:hRule="exact"/>
        </w:trPr>
        <w:tc>
          <w:tcPr>
            <w:tcW w:w="29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45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7.1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Obiectivul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general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discip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linei</w:t>
            </w:r>
          </w:p>
        </w:tc>
        <w:tc>
          <w:tcPr>
            <w:tcW w:w="771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86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•</w:t>
            </w:r>
            <w:r>
              <w:rPr>
                <w:rFonts w:ascii="Symbol" w:hAnsi="Symbol" w:cs="Symbol" w:eastAsia="Symbol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Dobândirea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țiuni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privind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caracterizarea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structurală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compușilor</w:t>
            </w:r>
          </w:p>
          <w:p>
            <w:pPr>
              <w:spacing w:before="2" w:after="0" w:line="240" w:lineRule="auto"/>
              <w:ind w:left="37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anorganici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(inclusiv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coordinativi)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organici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organometalici</w:t>
            </w:r>
          </w:p>
        </w:tc>
      </w:tr>
      <w:tr>
        <w:trPr>
          <w:trHeight w:val="2280" w:hRule="exact"/>
        </w:trPr>
        <w:tc>
          <w:tcPr>
            <w:tcW w:w="29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7.2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Obiectivele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specifice</w:t>
            </w:r>
          </w:p>
        </w:tc>
        <w:tc>
          <w:tcPr>
            <w:tcW w:w="771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•</w:t>
            </w:r>
            <w:r>
              <w:rPr>
                <w:rFonts w:ascii="Symbol" w:hAnsi="Symbol" w:cs="Symbol" w:eastAsia="Symbol"/>
                <w:sz w:val="24"/>
                <w:szCs w:val="24"/>
                <w:spacing w:val="8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Dobândirea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cunoștințelor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teoretice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privind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spectroscopia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RMN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difracția</w:t>
            </w:r>
          </w:p>
          <w:p>
            <w:pPr>
              <w:spacing w:before="3" w:after="0" w:line="240" w:lineRule="auto"/>
              <w:ind w:left="37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8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</w:rPr>
              <w:t>raze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4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8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</w:rPr>
              <w:t>monocristal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8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9"/>
                <w:sz w:val="24"/>
                <w:szCs w:val="24"/>
              </w:rPr>
              <w:t>inv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</w:rPr>
              <w:t>estigarea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identificarea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</w:rPr>
              <w:t>structurii</w:t>
            </w:r>
          </w:p>
          <w:p>
            <w:pPr>
              <w:spacing w:before="0" w:after="0" w:line="236" w:lineRule="auto"/>
              <w:ind w:left="37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moleculare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soluție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solidă</w:t>
            </w: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Symbol" w:hAnsi="Symbol" w:cs="Symbol" w:eastAsia="Symbol"/>
                <w:color w:val="000000"/>
                <w:spacing w:val="8"/>
                <w:sz w:val="24"/>
                <w:szCs w:val="24"/>
              </w:rPr>
              <w:t>•</w:t>
            </w:r>
            <w:r>
              <w:rPr>
                <w:rFonts w:ascii="Symbol" w:hAnsi="Symbol" w:cs="Symbol" w:eastAsia="Symbol"/>
                <w:sz w:val="24"/>
                <w:szCs w:val="24"/>
                <w:spacing w:val="3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tehnicilor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1"/>
                <w:sz w:val="24"/>
                <w:szCs w:val="24"/>
              </w:rPr>
              <w:t>RMN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caracterizarea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structurală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soluție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1"/>
                <w:sz w:val="24"/>
                <w:szCs w:val="24"/>
              </w:rPr>
              <w:t>a</w:t>
            </w:r>
          </w:p>
          <w:p>
            <w:pPr>
              <w:spacing w:before="2" w:after="0" w:line="240" w:lineRule="auto"/>
              <w:ind w:left="37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compușilor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organici,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organometalici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compușilor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coordinativi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inclusiv</w:t>
            </w:r>
          </w:p>
          <w:p>
            <w:pPr>
              <w:spacing w:before="0" w:after="0" w:line="236" w:lineRule="auto"/>
              <w:ind w:left="37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studierea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procese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dinamice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soluție</w:t>
            </w: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Symbol" w:hAnsi="Symbol" w:cs="Symbol" w:eastAsia="Symbol"/>
                <w:color w:val="000000"/>
                <w:spacing w:val="8"/>
                <w:sz w:val="24"/>
                <w:szCs w:val="24"/>
              </w:rPr>
              <w:t>•</w:t>
            </w:r>
            <w:r>
              <w:rPr>
                <w:rFonts w:ascii="Symbol" w:hAnsi="Symbol" w:cs="Symbol" w:eastAsia="Symbol"/>
                <w:sz w:val="24"/>
                <w:szCs w:val="24"/>
                <w:spacing w:val="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difracției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9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raze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3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monocristal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inclusiv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investigarea</w:t>
            </w:r>
          </w:p>
          <w:p>
            <w:pPr>
              <w:spacing w:before="2" w:after="0" w:line="240" w:lineRule="auto"/>
              <w:ind w:left="37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aspectelor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supramolecular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ă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6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8.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1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Conţinuturi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6351"/>
        <w:gridCol w:w="2835"/>
        <w:gridCol w:w="1516"/>
      </w:tblGrid>
      <w:tr>
        <w:trPr>
          <w:trHeight w:val="285" w:hRule="exact"/>
        </w:trPr>
        <w:tc>
          <w:tcPr>
            <w:tcW w:w="63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8.1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Curs</w:t>
            </w:r>
          </w:p>
        </w:tc>
        <w:tc>
          <w:tcPr>
            <w:tcW w:w="283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predare</w:t>
            </w:r>
          </w:p>
        </w:tc>
        <w:tc>
          <w:tcPr>
            <w:tcW w:w="151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Observaţii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:</w:t>
            </w:r>
          </w:p>
        </w:tc>
      </w:tr>
      <w:tr>
        <w:trPr>
          <w:trHeight w:val="852" w:hRule="exact"/>
        </w:trPr>
        <w:tc>
          <w:tcPr>
            <w:tcW w:w="63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523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Rezonanța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Magnetică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Nucleară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principiul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metodei;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izotopi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RMN,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standarde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externe,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parametri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spectr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ali</w:t>
            </w:r>
          </w:p>
        </w:tc>
        <w:tc>
          <w:tcPr>
            <w:tcW w:w="283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49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Prelegerea</w:t>
            </w:r>
            <w:r>
              <w:rPr>
                <w:rFonts w:ascii="Times New Roman" w:hAnsi="Times New Roman" w:cs="Times New Roman" w:eastAsia="Times New Roman"/>
                <w:color w:val="000000"/>
                <w:spacing w:val="9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Explicaţia</w:t>
            </w:r>
            <w:r>
              <w:rPr>
                <w:rFonts w:ascii="Times New Roman" w:hAnsi="Times New Roman" w:cs="Times New Roman" w:eastAsia="Times New Roman"/>
                <w:color w:val="000000"/>
                <w:spacing w:val="8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nversaţia</w:t>
            </w:r>
          </w:p>
        </w:tc>
        <w:tc>
          <w:tcPr>
            <w:tcW w:w="151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or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a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24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6351"/>
        <w:gridCol w:w="2835"/>
        <w:gridCol w:w="1516"/>
      </w:tblGrid>
      <w:tr>
        <w:trPr>
          <w:trHeight w:val="561" w:hRule="exact"/>
        </w:trPr>
        <w:tc>
          <w:tcPr>
            <w:tcW w:w="63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52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8.1.2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Spectroscopie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RMN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multinuclear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16"/>
                <w:szCs w:val="16"/>
              </w:rPr>
              <w:t>13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283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1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Explicaţia;</w:t>
            </w:r>
          </w:p>
          <w:p>
            <w:pPr>
              <w:spacing w:before="1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nversaţia</w:t>
            </w:r>
          </w:p>
        </w:tc>
        <w:tc>
          <w:tcPr>
            <w:tcW w:w="151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ora</w:t>
            </w:r>
          </w:p>
        </w:tc>
      </w:tr>
      <w:tr>
        <w:trPr>
          <w:trHeight w:val="562" w:hRule="exact"/>
        </w:trPr>
        <w:tc>
          <w:tcPr>
            <w:tcW w:w="63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149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8.1.3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Spectroscopie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RMN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multinuclear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–</w:t>
            </w:r>
            <w:r>
              <w:rPr>
                <w:rFonts w:ascii="Times New Roman" w:hAnsi="Times New Roman" w:cs="Times New Roman" w:eastAsia="Times New Roman"/>
                <w:color w:val="000000"/>
                <w:sz w:val="16"/>
                <w:szCs w:val="16"/>
              </w:rPr>
              <w:t>19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F,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16"/>
                <w:szCs w:val="16"/>
              </w:rPr>
              <w:t>31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alti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1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izotopi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RMN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nemetale</w:t>
            </w:r>
          </w:p>
        </w:tc>
        <w:tc>
          <w:tcPr>
            <w:tcW w:w="283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1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Explicaţia;</w:t>
            </w:r>
          </w:p>
          <w:p>
            <w:pPr>
              <w:spacing w:before="1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nversaţia</w:t>
            </w:r>
          </w:p>
        </w:tc>
        <w:tc>
          <w:tcPr>
            <w:tcW w:w="151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ora</w:t>
            </w:r>
          </w:p>
        </w:tc>
      </w:tr>
      <w:tr>
        <w:trPr>
          <w:trHeight w:val="837" w:hRule="exact"/>
        </w:trPr>
        <w:tc>
          <w:tcPr>
            <w:tcW w:w="63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39" w:lineRule="auto"/>
              <w:ind w:left="103" w:right="73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8.1.4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Spectroscopie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RMN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multinuclear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–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izotopi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activi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RMN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ai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metale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cuplajul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spin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nuclee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abundență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100%</w:t>
            </w: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mică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&lt;100%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sateliți</w:t>
            </w:r>
          </w:p>
        </w:tc>
        <w:tc>
          <w:tcPr>
            <w:tcW w:w="283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492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nversaţia</w:t>
            </w:r>
          </w:p>
        </w:tc>
        <w:tc>
          <w:tcPr>
            <w:tcW w:w="151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ora</w:t>
            </w:r>
          </w:p>
        </w:tc>
      </w:tr>
      <w:tr>
        <w:trPr>
          <w:trHeight w:val="564" w:hRule="exact"/>
        </w:trPr>
        <w:tc>
          <w:tcPr>
            <w:tcW w:w="63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8.1.5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Spectroscopie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RMN.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RMN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bidimensional</w:t>
            </w:r>
          </w:p>
        </w:tc>
        <w:tc>
          <w:tcPr>
            <w:tcW w:w="283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4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Explicaţia;</w:t>
            </w: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nversaţia</w:t>
            </w:r>
          </w:p>
        </w:tc>
        <w:tc>
          <w:tcPr>
            <w:tcW w:w="151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ora</w:t>
            </w:r>
          </w:p>
        </w:tc>
      </w:tr>
      <w:tr>
        <w:trPr>
          <w:trHeight w:val="837" w:hRule="exact"/>
        </w:trPr>
        <w:tc>
          <w:tcPr>
            <w:tcW w:w="63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742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8.1.6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Spectroscopie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RMN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corelații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între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geometria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coordinare,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numărul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deplasarea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chimică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compuș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anorganici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coordinativi</w:t>
            </w:r>
          </w:p>
        </w:tc>
        <w:tc>
          <w:tcPr>
            <w:tcW w:w="283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304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ea</w:t>
            </w:r>
          </w:p>
        </w:tc>
        <w:tc>
          <w:tcPr>
            <w:tcW w:w="151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ora</w:t>
            </w:r>
          </w:p>
        </w:tc>
      </w:tr>
      <w:tr>
        <w:trPr>
          <w:trHeight w:val="561" w:hRule="exact"/>
        </w:trPr>
        <w:tc>
          <w:tcPr>
            <w:tcW w:w="63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8.1.7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Molecule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fluxionale</w:t>
            </w:r>
          </w:p>
        </w:tc>
        <w:tc>
          <w:tcPr>
            <w:tcW w:w="283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1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Explicaţia;</w:t>
            </w:r>
          </w:p>
          <w:p>
            <w:pPr>
              <w:spacing w:before="1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nversaţia</w:t>
            </w:r>
          </w:p>
        </w:tc>
        <w:tc>
          <w:tcPr>
            <w:tcW w:w="151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ora</w:t>
            </w:r>
          </w:p>
        </w:tc>
      </w:tr>
      <w:tr>
        <w:trPr>
          <w:trHeight w:val="838" w:hRule="exact"/>
        </w:trPr>
        <w:tc>
          <w:tcPr>
            <w:tcW w:w="63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201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8.1.8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Spectrosco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RMN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RMN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dinamic,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parametri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cinetici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termodinamici</w:t>
            </w:r>
          </w:p>
        </w:tc>
        <w:tc>
          <w:tcPr>
            <w:tcW w:w="283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303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1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ea</w:t>
            </w:r>
          </w:p>
        </w:tc>
        <w:tc>
          <w:tcPr>
            <w:tcW w:w="151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ora</w:t>
            </w:r>
          </w:p>
        </w:tc>
      </w:tr>
      <w:tr>
        <w:trPr>
          <w:trHeight w:val="561" w:hRule="exact"/>
        </w:trPr>
        <w:tc>
          <w:tcPr>
            <w:tcW w:w="63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8.1.9.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Difractia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raze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monocristal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(principiul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metodei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și</w:t>
            </w:r>
          </w:p>
          <w:p>
            <w:pPr>
              <w:spacing w:before="2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instrumentaț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ia)</w:t>
            </w:r>
          </w:p>
        </w:tc>
        <w:tc>
          <w:tcPr>
            <w:tcW w:w="283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1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Explicaţia;</w:t>
            </w:r>
          </w:p>
          <w:p>
            <w:pPr>
              <w:spacing w:before="1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Descrierea</w:t>
            </w:r>
          </w:p>
        </w:tc>
        <w:tc>
          <w:tcPr>
            <w:tcW w:w="151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ora</w:t>
            </w:r>
          </w:p>
        </w:tc>
      </w:tr>
      <w:tr>
        <w:trPr>
          <w:trHeight w:val="1113" w:hRule="exact"/>
        </w:trPr>
        <w:tc>
          <w:tcPr>
            <w:tcW w:w="63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39" w:lineRule="auto"/>
              <w:ind w:left="103" w:right="93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8.1.10.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datelor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obtinute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prin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difractia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raze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monocristal.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Descri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fisierelor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cif,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</w:p>
          <w:p>
            <w:pPr>
              <w:spacing w:before="0" w:after="0" w:line="240" w:lineRule="auto"/>
              <w:ind w:left="103" w:right="235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tab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elelor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cristalografice,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parametrilor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atomici.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Raze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atomice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covalent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raze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Van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Waals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43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</w:t>
            </w:r>
          </w:p>
        </w:tc>
        <w:tc>
          <w:tcPr>
            <w:tcW w:w="151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ora</w:t>
            </w:r>
          </w:p>
        </w:tc>
      </w:tr>
      <w:tr>
        <w:trPr>
          <w:trHeight w:val="837" w:hRule="exact"/>
        </w:trPr>
        <w:tc>
          <w:tcPr>
            <w:tcW w:w="63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95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8.1.11.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Interactiuni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intra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intermoleculare.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Interactiuni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necov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alente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legaturi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hidrogen,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legaturi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hidrogen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pi,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metal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stacking,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metalofilice,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etc.</w:t>
            </w:r>
          </w:p>
        </w:tc>
        <w:tc>
          <w:tcPr>
            <w:tcW w:w="283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304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ea</w:t>
            </w:r>
          </w:p>
        </w:tc>
        <w:tc>
          <w:tcPr>
            <w:tcW w:w="151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64" w:hRule="exact"/>
        </w:trPr>
        <w:tc>
          <w:tcPr>
            <w:tcW w:w="63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1471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8.1.12.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Arhitecturi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supramoleculare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obtinute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autoasa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mblare</w:t>
            </w:r>
          </w:p>
        </w:tc>
        <w:tc>
          <w:tcPr>
            <w:tcW w:w="283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" w:after="0" w:line="240" w:lineRule="auto"/>
              <w:ind w:left="98" w:right="43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</w:t>
            </w:r>
          </w:p>
        </w:tc>
        <w:tc>
          <w:tcPr>
            <w:tcW w:w="151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530" w:hRule="exact"/>
        </w:trPr>
        <w:tc>
          <w:tcPr>
            <w:tcW w:w="10704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74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Biblio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grafie</w:t>
            </w:r>
          </w:p>
          <w:p>
            <w:pPr>
              <w:spacing w:before="0" w:after="0" w:line="240" w:lineRule="auto"/>
              <w:ind w:left="103" w:right="69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W.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Rankin,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W.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Mitzel,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C.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Morrison,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  <w:highlight w:val="lightGray"/>
              </w:rPr>
              <w:t>Structural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  <w:highlight w:val="lightGray"/>
              </w:rPr>
              <w:t>Methods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  <w:highlight w:val="lightGray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  <w:highlight w:val="lightGray"/>
              </w:rPr>
              <w:t>Molecular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  <w:highlight w:val="lightGray"/>
              </w:rPr>
              <w:t>Inorganic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  <w:highlight w:val="lightGray"/>
              </w:rPr>
              <w:t>Chemistry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1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John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Wiley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Sons,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Chichester,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2013.</w:t>
            </w:r>
          </w:p>
          <w:p>
            <w:pPr>
              <w:spacing w:before="0" w:after="0" w:line="240" w:lineRule="auto"/>
              <w:ind w:left="103" w:right="448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V.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Parish,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NMR,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NQR,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EPR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Moessbauer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Spectroscopy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Inorganic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Chemistry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Ellis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Horwood,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New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York,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1990.</w:t>
            </w: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Friebolin,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Basic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One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Two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Dimensional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NMR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Spectroscopy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Wiley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VCH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Weinheim,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1998.</w:t>
            </w: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Massa,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Crystal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Structure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Determination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Springer,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Berlin,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2004.</w:t>
            </w:r>
          </w:p>
          <w:p>
            <w:pPr>
              <w:spacing w:before="0" w:after="0" w:line="280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Bibliografie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opțională:</w:t>
            </w:r>
          </w:p>
          <w:p>
            <w:pPr>
              <w:spacing w:before="0" w:after="0" w:line="237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Haiduc,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J.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J.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Zuckerman,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Basi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Organometallic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Chemistry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Walter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Gruyter,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Berlin,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1985.</w:t>
            </w: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Elschenbroich,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Salzer,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Organometallics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Concise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Introduction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Chemistry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VCH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Verlag,</w:t>
            </w:r>
          </w:p>
          <w:p>
            <w:pPr>
              <w:spacing w:before="0" w:after="0" w:line="224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Weinheim,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1992.</w:t>
            </w:r>
          </w:p>
          <w:p>
            <w:pPr>
              <w:spacing w:before="0" w:after="0" w:line="248" w:lineRule="auto"/>
              <w:ind w:left="103" w:right="464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Crabtree,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Organometallic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Chemistry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Transition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Metals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color w:val="000000"/>
                <w:sz w:val="16"/>
                <w:szCs w:val="16"/>
              </w:rPr>
              <w:t>rd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Ed.,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John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Willey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Sons,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New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York,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2001.</w:t>
            </w: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Kin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ya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Akiba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(Ed.),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Chemistry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Hypervalent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Compounds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Wiley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VCH,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New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York,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1999.</w:t>
            </w: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5.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V.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Ebsworth,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W.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Rankin,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Cradock,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  <w:highlight w:val="lightGray"/>
              </w:rPr>
              <w:t>Structural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  <w:highlight w:val="lightGray"/>
              </w:rPr>
              <w:t>Methods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  <w:highlight w:val="lightGray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  <w:highlight w:val="lightGray"/>
              </w:rPr>
              <w:t>Inorganic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  <w:highlight w:val="lightGray"/>
              </w:rPr>
              <w:t>Chemistry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Blackwell,</w:t>
            </w: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Oxford,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1987.</w:t>
            </w: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Wells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Structural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Inorganic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Chemistry,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4th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Ed.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Oxford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Univ.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Press,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London,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1975.</w:t>
            </w:r>
          </w:p>
        </w:tc>
      </w:tr>
      <w:tr>
        <w:trPr>
          <w:trHeight w:val="285" w:hRule="exact"/>
        </w:trPr>
        <w:tc>
          <w:tcPr>
            <w:tcW w:w="63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8.2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Seminar</w:t>
            </w:r>
          </w:p>
        </w:tc>
        <w:tc>
          <w:tcPr>
            <w:tcW w:w="283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predare</w:t>
            </w:r>
          </w:p>
        </w:tc>
        <w:tc>
          <w:tcPr>
            <w:tcW w:w="151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1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Obse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rvaţii</w:t>
            </w:r>
          </w:p>
        </w:tc>
      </w:tr>
      <w:tr>
        <w:trPr>
          <w:trHeight w:val="1675" w:hRule="exact"/>
        </w:trPr>
        <w:tc>
          <w:tcPr>
            <w:tcW w:w="63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122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8.2.1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2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Aplicații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spectroscopie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RMN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analiza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structurală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compușilor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organometalici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coordinativi.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software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sp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ecific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(MestRENova).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spectrelor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16"/>
                <w:szCs w:val="16"/>
              </w:rPr>
              <w:t>13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considerații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structurale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bazate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deplasări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16"/>
                <w:szCs w:val="16"/>
              </w:rPr>
              <w:t>13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valoarea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integralelor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semnalelor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rezonanța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cuplaje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spin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spin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spectrele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RMN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compușilor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organometalici.</w:t>
            </w:r>
          </w:p>
        </w:tc>
        <w:tc>
          <w:tcPr>
            <w:tcW w:w="283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356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ea</w:t>
            </w:r>
          </w:p>
        </w:tc>
        <w:tc>
          <w:tcPr>
            <w:tcW w:w="151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ore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ict>
      <v:shape style="position:absolute;margin-left:389.400pt;margin-top:781.800pt;width:69.0pt;height:33.600pt;mso-position-horizontal-relative:page;mso-position-vertical-relative:page;z-index:0" type="#_x0000_t75">
        <v:imagedata r:id="rId7" o:title=""/>
      </v:shape>
    </w:pict>
    <w:pict>
      <v:group style="position:absolute;margin-left:30.500pt;margin-top:356.500pt;width:533.500pt;height:0.500pt;mso-position-horizontal-relative:page;mso-position-vertical-relative:page;z-index:-10" coordorigin="610,7130" coordsize="10670,10">
        <v:shape style="position:absolute;left:610;top:7130;width:10670;height:10" coordorigin="610,7130" coordsize="10670,10" path="m616,7143l616,7143,616,7143,616,7143,616,7143,617,7143,617,7143,618,7143,618,7143,620,7143,621,7143,623,7143,625,7143,627,7143,630,7143,634,7143,638,7143,642,7143,647,7143,653,7143,660,7143,667,7143,675,7143,684,7143,693,7143,704,7143,715,7143,728,7143,741,7143,755,7143,771,7143,787,7143,805,7143,824,7143,844,7143,865,7143,888,7143,912,7143,937,7143,964,7143,992,7143,1022,7143,1053,7143,1086,7143,1120,7143,1156,7143,1194,7143,1233,7143,1274,7143,1317,7143,1362,7143,1408,7143,1457,7143,1507,7143,1559,7143,1614,7143,1670,7143,1729,7143,1789,7143,1852,7143,1917,7143,1985,7143,2054,7143,2126,7143,2200,7143,2277,7143,2356,7143,2438,7143,2522,7143,2608,7143,2697,7143,2789,7143,2884,7143,2981,7143,3081,7143,3183,7143,3289,7143,3397,7143,3508,7143,3623,7143,3740,7143,3860,7143,3983,7143,4109,7143,4238,7143,4371,7143,4507,7143,4646,7143,4788,7143,4933,7143,5082,7143,5234,7143,5390,7143,5549,7143,5712,7143,5878,7143,6048,7143,6221,7143,6398,7143,6579,7143,6763,7143,6951,7143,7143,7143,7339,7143,7539,7143,7742,7143,7950,7143,8161,7143,8377,7143,8596,7143,8820,7143,9048,7143,9280,7143,9516,7143,9757,7143,10002,7143,10251,7143,10504,7143,10762,7143,11025,7143,11292,7143e" filled="f" stroked="t" strokeweight="0.479pt" strokecolor="#000000">
          <v:path arrowok="t"/>
        </v:shape>
      </v:group>
    </w:pict>
    <w:pict>
      <v:group style="position:absolute;margin-left:29.500pt;margin-top:356.500pt;width:1.500pt;height:85.500pt;mso-position-horizontal-relative:page;mso-position-vertical-relative:page;z-index:-10" coordorigin="590,7130" coordsize="30,1710">
        <v:shape style="position:absolute;left:590;top:7130;width:30;height:1710" coordorigin="590,7130" coordsize="30,1710" path="m612,7148l612,7148,612,7148,612,7148,612,7148,612,7148,612,7148,612,7148,612,7148,612,7148,612,7148,612,7149,612,7149,612,7149,612,7150,612,7150,612,7151,612,7152,612,7153,612,7153,612,7155,612,7156,612,7157,612,7158,612,7160,612,7162,612,7163,612,7165,612,7167,612,7170,612,7172,612,7175,612,7178,612,7181,612,7184,612,7187,612,7191,612,7194,612,7198,612,7203,612,7207,612,7212,612,7217,612,7222,612,7227,612,7233,612,7239,612,7245,612,7252,612,7259,612,7266,612,7273,612,7281,612,7289,612,7297,612,7306,612,7315,612,7324,612,7334,612,7344,612,7354,612,7365,612,7376,612,7387,612,7399,612,7411,612,7423,612,7436,612,7450,612,7463,612,7478,612,7492,612,7507,612,7522,612,7538,612,7555,612,7571,612,7589,612,7606,612,7624,612,7643,612,7662,612,7681,612,7701,612,7722,612,7743,612,7764,612,7786,612,7809,612,7832,612,7856,612,7880,612,7904,612,7930,612,7955,612,7982,612,8009,612,8036,612,8064,612,8093,612,8122,612,8152,612,8182,612,8213,612,8245,612,8277,612,8310,612,8344,612,8378,612,8413,612,8448,612,8484,612,8521,612,8559,612,8597,612,8636,612,8675,612,8715,612,8756,612,8798,612,8840e" filled="f" stroked="t" strokeweight="0.479pt" strokecolor="#000000">
          <v:path arrowok="t"/>
        </v:shape>
      </v:group>
    </w:pict>
    <w:pict>
      <v:group style="position:absolute;margin-left:30.500pt;margin-top:441.500pt;width:533.500pt;height:0.500pt;mso-position-horizontal-relative:page;mso-position-vertical-relative:page;z-index:-10" coordorigin="610,8830" coordsize="10670,10">
        <v:shape style="position:absolute;left:610;top:8830;width:10670;height:10" coordorigin="610,8830" coordsize="10670,10" path="m616,8845l616,8845,616,8845,616,8845,616,8845,617,8845,617,8845,618,8845,618,8845,620,8845,621,8845,623,8845,625,8845,627,8845,630,8845,634,8845,638,8845,642,8845,647,8845,653,8845,660,8845,667,8845,675,8845,684,8845,693,8845,704,8845,715,8845,728,8845,741,8845,755,8845,771,8845,787,8845,805,8845,824,8845,844,8845,865,8845,888,8845,912,8845,937,8845,964,8845,992,8845,1022,8845,1053,8845,1086,8845,1120,8845,1156,8845,1194,8845,1233,8845,1274,8845,1317,8845,1362,8845,1408,8845,1457,8845,1507,8845,1559,8845,1614,8845,1670,8845,1729,8845,1789,8845,1852,8845,1917,8845,1985,8845,2054,8845,2126,8845,2200,8845,2277,8845,2356,8845,2438,8845,2522,8845,2608,8845,2697,8845,2789,8845,2884,8845,2981,8845,3081,8845,3183,8845,3289,8845,3397,8845,3508,8845,3623,8845,3740,8845,3860,8845,3983,8845,4109,8845,4238,8845,4371,8845,4507,8845,4646,8845,4788,8845,4933,8845,5082,8845,5234,8845,5390,8845,5549,8845,5712,8845,5878,8845,6048,8845,6221,8845,6398,8845,6579,8845,6763,8845,6951,8845,7143,8845,7339,8845,7539,8845,7742,8845,7950,8845,8161,8845,8377,8845,8596,8845,8820,8845,9048,8845,9280,8845,9516,8845,9757,8845,10002,8845,10251,8845,10504,8845,10762,8845,11025,8845,11292,8845e" filled="f" stroked="t" strokeweight="0.479pt" strokecolor="#000000">
          <v:path arrowok="t"/>
        </v:shape>
      </v:group>
    </w:pict>
    <w:pict>
      <v:group style="position:absolute;margin-left:563.500pt;margin-top:356.500pt;width:1.500pt;height:85.500pt;mso-position-horizontal-relative:page;mso-position-vertical-relative:page;z-index:-10" coordorigin="11270,7130" coordsize="30,1710">
        <v:shape style="position:absolute;left:11270;top:7130;width:30;height:1710" coordorigin="11270,7130" coordsize="30,1710" path="m11296,7148l11296,7148,11296,7148,11296,7148,11296,7148,11296,7148,11296,7148,11296,7148,11296,7148,11296,7148,11296,7148,11296,7149,11296,7149,11296,7149,11296,7150,11296,7150,11296,7151,11296,7152,11296,7153,11296,7153,11296,7155,11296,7156,11296,7157,11296,7158,11296,7160,11296,7162,11296,7163,11296,7165,11296,7167,11296,7170,11296,7172,11296,7175,11296,7178,11296,7181,11296,7184,11296,7187,11296,7191,11296,7194,11296,7198,11296,7203,11296,7207,11296,7212,11296,7217,11296,7222,11296,7227,11296,7233,11296,7239,11296,7245,11296,7252,11296,7259,11296,7266,11296,7273,11296,7281,11296,7289,11296,7297,11296,7306,11296,7315,11296,7324,11296,7334,11296,7344,11296,7354,11296,7365,11296,7376,11296,7387,11296,7399,11296,7411,11296,7423,11296,7436,11296,7450,11296,7463,11296,7478,11296,7492,11296,7507,11296,7522,11296,7538,11296,7555,11296,7571,11296,7589,11296,7606,11296,7624,11296,7643,11296,7662,11296,7681,11296,7701,11296,7722,11296,7743,11296,7764,11296,7786,11296,7809,11296,7832,11296,7856,11296,7880,11296,7904,11296,7930,11296,7955,11296,7982,11296,8009,11296,8036,11296,8064,11296,8093,11296,8122,11296,8152,11296,8182,11296,8213,11296,8245,11296,8277,11296,8310,11296,8344,11296,8378,11296,8413,11296,8448,11296,8484,11296,8521,11296,8559,11296,8597,11296,8636,11296,8675,11296,8715,11296,8756,11296,8798,11296,8840e" filled="f" stroked="t" strokeweight="0.480pt" strokecolor="#000000">
          <v:path arrowok="t"/>
        </v:shape>
      </v:group>
    </w:pict>
    <w:pict>
      <v:shape style="position:absolute;margin-left:212.400pt;margin-top:666.600pt;width:139.800pt;height:45.600pt;mso-position-horizontal-relative:page;mso-position-vertical-relative:page;z-index:0" type="#_x0000_t75">
        <v:imagedata r:id="rId8" o:title=""/>
      </v:shape>
    </w:pict>
    <w:pict>
      <v:shape style="position:absolute;margin-left:389.400pt;margin-top:666.600pt;width:139.800pt;height:45.600pt;mso-position-horizontal-relative:page;mso-position-vertical-relative:page;z-index:0" type="#_x0000_t75">
        <v:imagedata r:id="rId9" o:title=""/>
      </v:shape>
    </w:pict>
    <w:p>
      <w:pPr>
        <w:spacing w:before="0" w:after="0" w:line="200" w:lineRule="exact"/>
        <w:ind w:left="0" w:right="0"/>
      </w:pPr>
    </w:p>
    <w:p>
      <w:pPr>
        <w:sectPr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24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6351"/>
        <w:gridCol w:w="2835"/>
        <w:gridCol w:w="1516"/>
      </w:tblGrid>
      <w:tr>
        <w:trPr>
          <w:trHeight w:val="1114" w:hRule="exact"/>
        </w:trPr>
        <w:tc>
          <w:tcPr>
            <w:tcW w:w="63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169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8.2.3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4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Aplicații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spectroscopie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RMN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analiza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structurală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compușilor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organometalici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coordinativi.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bidimensionale.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Atribuirea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semnalelor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rezonanta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16"/>
                <w:szCs w:val="16"/>
              </w:rPr>
              <w:t>13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356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ea</w:t>
            </w:r>
          </w:p>
        </w:tc>
        <w:tc>
          <w:tcPr>
            <w:tcW w:w="151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ore</w:t>
            </w:r>
          </w:p>
        </w:tc>
      </w:tr>
      <w:tr>
        <w:trPr>
          <w:trHeight w:val="1113" w:hRule="exact"/>
        </w:trPr>
        <w:tc>
          <w:tcPr>
            <w:tcW w:w="63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295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8.2.5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RMN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color w:val="000000"/>
                <w:sz w:val="16"/>
                <w:szCs w:val="16"/>
              </w:rPr>
              <w:t>19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16"/>
                <w:szCs w:val="16"/>
              </w:rPr>
              <w:t>31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etc.)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anorganici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organometalici.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Atribuirea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structurii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soluție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RMN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multinucleare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Simularea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spectrelor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RMN.</w:t>
            </w:r>
          </w:p>
        </w:tc>
        <w:tc>
          <w:tcPr>
            <w:tcW w:w="283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356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ea</w:t>
            </w:r>
          </w:p>
        </w:tc>
        <w:tc>
          <w:tcPr>
            <w:tcW w:w="151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ore</w:t>
            </w:r>
          </w:p>
        </w:tc>
      </w:tr>
      <w:tr>
        <w:trPr>
          <w:trHeight w:val="837" w:hRule="exact"/>
        </w:trPr>
        <w:tc>
          <w:tcPr>
            <w:tcW w:w="63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681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8.2.7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Aplicații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RMN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procese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dinamice.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temperatura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variabila.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Parametri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cinetici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termodi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namici</w:t>
            </w:r>
          </w:p>
        </w:tc>
        <w:tc>
          <w:tcPr>
            <w:tcW w:w="283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357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a;</w:t>
            </w:r>
          </w:p>
        </w:tc>
        <w:tc>
          <w:tcPr>
            <w:tcW w:w="151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ore</w:t>
            </w:r>
          </w:p>
        </w:tc>
      </w:tr>
      <w:tr>
        <w:trPr>
          <w:trHeight w:val="1116" w:hRule="exact"/>
        </w:trPr>
        <w:tc>
          <w:tcPr>
            <w:tcW w:w="63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172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8.2.9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10.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Analiza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ș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datelor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difracție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raze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monocristal.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software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specific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(Diamond,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Mercury,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Platon,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etc.)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specifice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(CSD,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ICSD,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etc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.)</w:t>
            </w:r>
          </w:p>
        </w:tc>
        <w:tc>
          <w:tcPr>
            <w:tcW w:w="283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" w:after="0" w:line="240" w:lineRule="auto"/>
              <w:ind w:left="98" w:right="357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a;</w:t>
            </w:r>
          </w:p>
        </w:tc>
        <w:tc>
          <w:tcPr>
            <w:tcW w:w="151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ore</w:t>
            </w:r>
          </w:p>
        </w:tc>
      </w:tr>
      <w:tr>
        <w:trPr>
          <w:trHeight w:val="838" w:hRule="exact"/>
        </w:trPr>
        <w:tc>
          <w:tcPr>
            <w:tcW w:w="63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509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8.2.11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ogramelor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specifice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pregatire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publicare</w:t>
            </w:r>
          </w:p>
        </w:tc>
        <w:tc>
          <w:tcPr>
            <w:tcW w:w="283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357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a;</w:t>
            </w:r>
          </w:p>
        </w:tc>
        <w:tc>
          <w:tcPr>
            <w:tcW w:w="151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ore</w:t>
            </w:r>
          </w:p>
        </w:tc>
      </w:tr>
      <w:tr>
        <w:trPr>
          <w:trHeight w:val="571" w:hRule="exact"/>
        </w:trPr>
        <w:tc>
          <w:tcPr>
            <w:tcW w:w="10704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71" w:firstLine="0"/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  <w:highlight w:val="lightGray"/>
              </w:rPr>
              <w:t>Colecțiile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highlight w:val="lightGray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  <w:highlight w:val="lightGray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highlight w:val="lightGray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  <w:highlight w:val="lightGray"/>
              </w:rPr>
              <w:t>ultimii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highlight w:val="lightGray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  <w:highlight w:val="lightGray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highlight w:val="lightGray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  <w:highlight w:val="lightGray"/>
              </w:rPr>
              <w:t>ani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highlight w:val="lightGray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  <w:highlight w:val="lightGray"/>
              </w:rPr>
              <w:t>ai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highlight w:val="lightGray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  <w:highlight w:val="lightGray"/>
              </w:rPr>
              <w:t>revistelor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highlight w:val="lightGray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  <w:highlight w:val="lightGray"/>
              </w:rPr>
              <w:t>Angew.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highlight w:val="lightGray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  <w:highlight w:val="lightGray"/>
              </w:rPr>
              <w:t>Chem.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highlight w:val="lightGray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  <w:highlight w:val="lightGray"/>
              </w:rPr>
              <w:t>Int.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highlight w:val="lightGray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  <w:highlight w:val="lightGray"/>
              </w:rPr>
              <w:t>Ed.;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highlight w:val="lightGray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  <w:highlight w:val="lightGray"/>
              </w:rPr>
              <w:t>Chem.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highlight w:val="lightGray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  <w:highlight w:val="lightGray"/>
              </w:rPr>
              <w:t>Eur.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highlight w:val="lightGray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  <w:highlight w:val="lightGray"/>
              </w:rPr>
              <w:t>J.;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highlight w:val="lightGray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  <w:highlight w:val="lightGray"/>
              </w:rPr>
              <w:t>Eur.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highlight w:val="lightGray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  <w:highlight w:val="lightGray"/>
              </w:rPr>
              <w:t>J.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highlight w:val="lightGray"/>
                <w:spacing w:val="1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  <w:highlight w:val="lightGray"/>
              </w:rPr>
              <w:t>Inorg.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highlight w:val="lightGray"/>
                <w:spacing w:val="15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  <w:highlight w:val="lightGray"/>
              </w:rPr>
              <w:t>Chem;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Chem.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Commun.;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Chem.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Sci.;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Inor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g.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Chem.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Dalton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Trans.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Organometallics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6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9.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Coroborarea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conţinuturilor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disciplinei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aşteptările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reprezentanţilor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comunităţii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9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epistemice,</w:t>
      </w:r>
    </w:p>
    <w:p>
      <w:pPr>
        <w:spacing w:before="7" w:after="0" w:line="240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asociaţiilor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profesionale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şi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angajatori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reprezentativi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domeniul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aferent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6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programului</w:t>
      </w:r>
    </w:p>
    <w:p>
      <w:pPr>
        <w:spacing w:before="1" w:after="0" w:line="240" w:lineRule="auto"/>
        <w:ind w:left="720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•</w:t>
      </w:r>
      <w:r>
        <w:rPr>
          <w:rFonts w:ascii="Symbol" w:hAnsi="Symbol" w:cs="Symbol" w:eastAsia="Symbol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Conținutul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acestei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discip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line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este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foarte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util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evaluarea/asigurarea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calității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produșilor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sinteză</w:t>
      </w:r>
      <w:r>
        <w:rPr>
          <w:rFonts w:ascii="Times New Roman" w:hAnsi="Times New Roman" w:cs="Times New Roman" w:eastAsia="Times New Roman"/>
          <w:sz w:val="24"/>
          <w:szCs w:val="24"/>
          <w:spacing w:val="17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chimică</w:t>
      </w:r>
    </w:p>
    <w:p>
      <w:pPr>
        <w:spacing w:before="6" w:after="0" w:line="240" w:lineRule="auto"/>
        <w:ind w:left="1003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și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materialelor,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venind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în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întâmpinarea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nevoilor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angajatorilor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situați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atât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în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sfera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producției,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cât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și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în</w:t>
      </w:r>
      <w:r>
        <w:rPr>
          <w:rFonts w:ascii="Times New Roman" w:hAnsi="Times New Roman" w:cs="Times New Roman" w:eastAsia="Times New Roman"/>
          <w:sz w:val="24"/>
          <w:szCs w:val="24"/>
          <w:spacing w:val="-7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cea</w:t>
      </w:r>
    </w:p>
    <w:p>
      <w:pPr>
        <w:spacing w:before="0" w:after="0" w:line="233" w:lineRule="auto"/>
        <w:ind w:left="1003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desfacerii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produselor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sinteza</w:t>
      </w:r>
      <w:r>
        <w:rPr>
          <w:rFonts w:ascii="Times New Roman" w:hAnsi="Times New Roman" w:cs="Times New Roman" w:eastAsia="Times New Roman"/>
          <w:sz w:val="24"/>
          <w:szCs w:val="24"/>
          <w:spacing w:val="-5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chimică.</w:t>
      </w:r>
    </w:p>
    <w:p>
      <w:pPr>
        <w:spacing w:before="0" w:after="0" w:line="240" w:lineRule="auto"/>
        <w:ind w:left="720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•</w:t>
      </w:r>
      <w:r>
        <w:rPr>
          <w:rFonts w:ascii="Symbol" w:hAnsi="Symbol" w:cs="Symbol" w:eastAsia="Symbol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Cunoașterea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ș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utilizarea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acestor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metode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moderne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complexe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caracterizare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compușilor</w:t>
      </w:r>
      <w:r>
        <w:rPr>
          <w:rFonts w:ascii="Times New Roman" w:hAnsi="Times New Roman" w:cs="Times New Roman" w:eastAsia="Times New Roman"/>
          <w:sz w:val="24"/>
          <w:szCs w:val="24"/>
          <w:spacing w:val="1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anorganici,</w:t>
      </w:r>
    </w:p>
    <w:p>
      <w:pPr>
        <w:spacing w:before="4" w:after="0" w:line="240" w:lineRule="auto"/>
        <w:ind w:left="1003" w:right="1017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organici,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organometalici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sau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complecșilor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este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în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concordantă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cu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competentele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parțiale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cerute</w:t>
      </w:r>
      <w:r>
        <w:rPr>
          <w:rFonts w:ascii="Times New Roman" w:hAnsi="Times New Roman" w:cs="Times New Roman" w:eastAsia="Times New Roman"/>
          <w:sz w:val="24"/>
          <w:szCs w:val="24"/>
          <w:spacing w:val="-15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pentru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ocupațiile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posibile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prevăzute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în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Grila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-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RNCIS.</w:t>
      </w:r>
    </w:p>
    <w:p>
      <w:pPr>
        <w:spacing w:before="0" w:after="0" w:line="279" w:lineRule="exact"/>
        <w:ind w:left="0" w:right="0"/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10.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Evaluar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(doar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pentru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doctoranzii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solicita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acest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8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lucru)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677"/>
        <w:gridCol w:w="3816"/>
        <w:gridCol w:w="2268"/>
        <w:gridCol w:w="1942"/>
      </w:tblGrid>
      <w:tr>
        <w:trPr>
          <w:trHeight w:val="566" w:hRule="exact"/>
        </w:trPr>
        <w:tc>
          <w:tcPr>
            <w:tcW w:w="267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Tip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activitate</w:t>
            </w:r>
          </w:p>
        </w:tc>
        <w:tc>
          <w:tcPr>
            <w:tcW w:w="381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2" w:after="0" w:line="240" w:lineRule="auto"/>
              <w:ind w:left="14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Criterii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evaluare</w:t>
            </w:r>
          </w:p>
        </w:tc>
        <w:tc>
          <w:tcPr>
            <w:tcW w:w="22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1" w:after="0" w:line="240" w:lineRule="auto"/>
              <w:ind w:left="98" w:right="628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evalu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are</w:t>
            </w:r>
          </w:p>
        </w:tc>
        <w:tc>
          <w:tcPr>
            <w:tcW w:w="194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2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Pondere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</w:t>
            </w:r>
          </w:p>
          <w:p>
            <w:pPr>
              <w:spacing w:before="4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nota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finală</w:t>
            </w:r>
          </w:p>
        </w:tc>
      </w:tr>
      <w:tr>
        <w:trPr>
          <w:trHeight w:val="837" w:hRule="exact"/>
        </w:trPr>
        <w:tc>
          <w:tcPr>
            <w:tcW w:w="2677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10.4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Curs</w:t>
            </w:r>
          </w:p>
        </w:tc>
        <w:tc>
          <w:tcPr>
            <w:tcW w:w="381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545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Corectitudinea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răspunsurilor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însuşirea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înţelegerea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corectă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problematicii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tratate</w:t>
            </w:r>
          </w:p>
        </w:tc>
        <w:tc>
          <w:tcPr>
            <w:tcW w:w="2268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Examen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oral</w:t>
            </w:r>
          </w:p>
        </w:tc>
        <w:tc>
          <w:tcPr>
            <w:tcW w:w="1942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60%</w:t>
            </w:r>
          </w:p>
        </w:tc>
      </w:tr>
      <w:tr>
        <w:trPr>
          <w:trHeight w:val="561" w:hRule="exact"/>
        </w:trPr>
        <w:tc>
          <w:tcPr>
            <w:tcW w:w="2677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381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1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Modul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gândire,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corectitudinea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</w:p>
          <w:p>
            <w:pPr>
              <w:spacing w:before="1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argumentarea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soluţiilor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propuse</w:t>
            </w:r>
          </w:p>
        </w:tc>
        <w:tc>
          <w:tcPr>
            <w:tcW w:w="2268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1942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73" w:hRule="exact"/>
        </w:trPr>
        <w:tc>
          <w:tcPr>
            <w:tcW w:w="267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10.5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Seminar/laborator</w:t>
            </w:r>
          </w:p>
        </w:tc>
        <w:tc>
          <w:tcPr>
            <w:tcW w:w="381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1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Activitatea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desfăşurată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seminar</w:t>
            </w:r>
          </w:p>
        </w:tc>
        <w:tc>
          <w:tcPr>
            <w:tcW w:w="226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116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Prezentarea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</w:rPr>
              <w:t>analizei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structuri</w:t>
            </w:r>
          </w:p>
        </w:tc>
        <w:tc>
          <w:tcPr>
            <w:tcW w:w="194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40%</w:t>
            </w:r>
          </w:p>
        </w:tc>
      </w:tr>
      <w:tr>
        <w:trPr>
          <w:trHeight w:val="285" w:hRule="exact"/>
        </w:trPr>
        <w:tc>
          <w:tcPr>
            <w:tcW w:w="10704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1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Standard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minim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performanţă</w:t>
            </w:r>
          </w:p>
        </w:tc>
      </w:tr>
      <w:tr>
        <w:trPr>
          <w:trHeight w:val="317" w:hRule="exact"/>
        </w:trPr>
        <w:tc>
          <w:tcPr>
            <w:tcW w:w="10704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tabs>
                <w:tab w:val="left" w:pos="946"/>
              </w:tabs>
              <w:spacing w:before="0" w:after="0" w:line="240" w:lineRule="auto"/>
              <w:ind w:left="528" w:right="0" w:firstLine="0"/>
            </w:pPr>
            <w:r>
              <w:rPr>
                <w:rFonts w:ascii="Symbol" w:hAnsi="Symbol" w:cs="Symbol" w:eastAsia="Symbol"/>
                <w:color w:val="000000"/>
                <w:spacing w:val="-34"/>
                <w:sz w:val="24"/>
                <w:szCs w:val="24"/>
              </w:rPr>
              <w:t>•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(cinci)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8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tabs>
          <w:tab w:val="left" w:pos="4261"/>
          <w:tab w:val="left" w:pos="7802"/>
        </w:tabs>
        <w:spacing w:before="0" w:after="0" w:line="240" w:lineRule="auto"/>
        <w:ind w:left="1428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-1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comple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tării</w:t>
      </w:r>
      <w:r>
        <w:tab/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Semnătura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titularului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3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curs</w:t>
      </w:r>
      <w:r>
        <w:tab/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Semnătura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titularului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1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seminar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auto"/>
        <w:ind w:left="1428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01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septembrie</w:t>
      </w:r>
      <w:r>
        <w:rPr>
          <w:rFonts w:ascii="Times New Roman" w:hAnsi="Times New Roman" w:cs="Times New Roman" w:eastAsia="Times New Roman"/>
          <w:sz w:val="24"/>
          <w:szCs w:val="24"/>
          <w:spacing w:val="-5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20</w:t>
      </w:r>
    </w:p>
    <w:p>
      <w:pPr>
        <w:spacing w:before="0" w:after="0" w:line="200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pacing w:before="0" w:after="0" w:line="328" w:lineRule="exact"/>
        <w:ind w:left="0" w:right="0"/>
      </w:pPr>
    </w:p>
    <w:p>
      <w:pPr>
        <w:spacing w:before="0" w:after="0" w:line="240" w:lineRule="auto"/>
        <w:ind w:left="1428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avizării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în</w:t>
      </w:r>
      <w:r>
        <w:rPr>
          <w:rFonts w:ascii="Times New Roman" w:hAnsi="Times New Roman" w:cs="Times New Roman" w:eastAsia="Times New Roman"/>
          <w:sz w:val="24"/>
          <w:szCs w:val="24"/>
          <w:spacing w:val="-3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CSDC</w:t>
      </w:r>
    </w:p>
    <w:p>
      <w:pPr>
        <w:spacing w:before="0" w:after="0" w:line="200" w:lineRule="exact"/>
        <w:ind w:left="0" w:right="0"/>
      </w:pPr>
      <w:br w:type="column"/>
    </w:p>
    <w:p>
      <w:pPr>
        <w:spacing w:before="0" w:after="0" w:line="200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pacing w:before="0" w:after="0" w:line="204" w:lineRule="exact"/>
        <w:ind w:left="0" w:right="0"/>
      </w:pPr>
    </w:p>
    <w:p>
      <w:pPr>
        <w:spacing w:before="0" w:after="0" w:line="240" w:lineRule="auto"/>
        <w:ind w:left="0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Semnătura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directorului</w:t>
      </w:r>
      <w:r>
        <w:rPr>
          <w:rFonts w:ascii="Times New Roman" w:hAnsi="Times New Roman" w:cs="Times New Roman" w:eastAsia="Times New Roman"/>
          <w:sz w:val="24"/>
          <w:szCs w:val="24"/>
          <w:spacing w:val="-3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SDC</w:t>
      </w:r>
    </w:p>
    <w:p>
      <w:pPr>
        <w:sectPr>
          <w:type w:val="continuous"/>
          <w:pgSz w:w="11906" w:h="16838"/>
          <w:pgMar w:header="0" w:footer="0" w:top="0" w:bottom="0" w:left="0" w:right="0"/>
          <w:cols w:num="2" w:equalWidth="0">
            <w:col w:w="7093" w:space="0"/>
            <w:col w:w="4813"/>
          </w:cols>
        </w:sectPr>
      </w:pPr>
    </w:p>
    <w:p>
      <w:pPr>
        <w:spacing w:before="0" w:after="0" w:line="240" w:lineRule="auto"/>
        <w:ind w:left="1428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05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septembr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ie</w:t>
      </w:r>
      <w:r>
        <w:rPr>
          <w:rFonts w:ascii="Times New Roman" w:hAnsi="Times New Roman" w:cs="Times New Roman" w:eastAsia="Times New Roman"/>
          <w:sz w:val="24"/>
          <w:szCs w:val="24"/>
          <w:spacing w:val="-5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20</w:t>
      </w:r>
    </w:p>
    <w:p>
      <w:pPr>
        <w:spacing w:before="0" w:after="0" w:line="240" w:lineRule="auto"/>
        <w:ind w:left="708" w:right="0" w:firstLine="0"/>
      </w:pPr>
      <w:br w:type="column"/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Prof.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Dr.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-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Grosu</w:t>
      </w:r>
    </w:p>
    <w:p>
      <w:pPr>
        <w:spacing w:before="0" w:after="0" w:line="240" w:lineRule="auto"/>
        <w:ind w:left="0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Membru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Corespondent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al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Academiei</w:t>
      </w:r>
      <w:r>
        <w:rPr>
          <w:rFonts w:ascii="Times New Roman" w:hAnsi="Times New Roman" w:cs="Times New Roman" w:eastAsia="Times New Roman"/>
          <w:sz w:val="24"/>
          <w:szCs w:val="24"/>
          <w:spacing w:val="-6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Romane</w:t>
      </w:r>
    </w:p>
    <w:sectPr>
      <w:type w:val="continuous"/>
      <w:pgSz w:w="11906" w:h="16838"/>
      <w:pgMar w:header="0" w:footer="0" w:top="0" w:bottom="0" w:left="0" w:right="0"/>
      <w:cols w:num="2" w:equalWidth="0">
        <w:col w:w="6385" w:space="0"/>
        <w:col w:w="552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seFELayout/>
    <w:ulTrailSpace/>
    <w:hideSpellingErrors/>
    <w:hideGrammaticalErrors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E9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 ?> 
<Relationships xmlns="http://schemas.openxmlformats.org/package/2006/relationships">
	<Relationship Id="rId1" Type="http://schemas.openxmlformats.org/officeDocument/2006/relationships/styles" Target="styles.xml" /> 
	<Relationship Id="rId2" Type="http://schemas.openxmlformats.org/officeDocument/2006/relationships/settings" Target="settings.xml" />
	<Relationship Id="rId3" Type="http://schemas.openxmlformats.org/officeDocument/2006/relationships/webSettings" Target="webSettings.xml" />
	<Relationship Id="rId4" Type="http://schemas.openxmlformats.org/officeDocument/2006/relationships/footnotes" Target="footnotes.xml" /> 
	<Relationship Id="rId5" Type="http://schemas.openxmlformats.org/officeDocument/2006/relationships/endnotes" Target="endnotes.xml" /> 
	<Relationship Id="rId6" Type="http://schemas.openxmlformats.org/officeDocument/2006/relationships/theme" Target="theme/theme1.xml" /> 
	<Relationship Id="rId7" Type="http://schemas.openxmlformats.org/officeDocument/2006/relationships/image" Target="media/image/7.jpeg" />
	<Relationship Id="rId8" Type="http://schemas.openxmlformats.org/officeDocument/2006/relationships/image" Target="media/image/8.jpeg" />
	<Relationship Id="rId9" Type="http://schemas.openxmlformats.org/officeDocument/2006/relationships/image" Target="media/image/9.jpeg" 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2011-11-21T14:59:00Z</dcterms:created>
  <dcterms:modified xsi:type="dcterms:W3CDTF">2011-11-21T15:00:00Z</dcterms:modified>
</cp:coreProperties>
</file>