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42F" w:rsidRPr="0007194F" w:rsidRDefault="00B0242F" w:rsidP="00EA511F">
      <w:pPr>
        <w:spacing w:after="0" w:line="240" w:lineRule="auto"/>
        <w:jc w:val="center"/>
        <w:outlineLvl w:val="0"/>
        <w:rPr>
          <w:rFonts w:ascii="Times New Roman" w:hAnsi="Times New Roman" w:cs="Times New Roman"/>
          <w:b/>
          <w:bCs/>
          <w:caps/>
          <w:sz w:val="24"/>
          <w:szCs w:val="24"/>
        </w:rPr>
      </w:pPr>
      <w:r>
        <w:rPr>
          <w:rFonts w:ascii="Times New Roman" w:hAnsi="Times New Roman"/>
          <w:b/>
          <w:bCs/>
          <w:caps/>
          <w:sz w:val="24"/>
          <w:szCs w:val="24"/>
        </w:rPr>
        <w:t xml:space="preserve">Course </w:t>
      </w:r>
      <w:r w:rsidR="00646C4D">
        <w:rPr>
          <w:rFonts w:ascii="Times New Roman" w:hAnsi="Times New Roman"/>
          <w:b/>
          <w:bCs/>
          <w:caps/>
          <w:sz w:val="24"/>
          <w:szCs w:val="24"/>
        </w:rPr>
        <w:t>Syllabus</w:t>
      </w: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1. Data about the program</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7134"/>
      </w:tblGrid>
      <w:tr w:rsidR="00B0242F" w:rsidRPr="0007194F" w:rsidTr="006E4A32">
        <w:tc>
          <w:tcPr>
            <w:tcW w:w="3794" w:type="dxa"/>
          </w:tcPr>
          <w:p w:rsidR="00B0242F" w:rsidRPr="005456D4"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1.1 Higher education institution</w:t>
            </w:r>
          </w:p>
        </w:tc>
        <w:tc>
          <w:tcPr>
            <w:tcW w:w="7134" w:type="dxa"/>
          </w:tcPr>
          <w:p w:rsidR="00B0242F" w:rsidRPr="0007194F" w:rsidRDefault="001211BE" w:rsidP="00EA511F">
            <w:pPr>
              <w:spacing w:after="0" w:line="240" w:lineRule="auto"/>
              <w:rPr>
                <w:rFonts w:ascii="Times New Roman" w:hAnsi="Times New Roman" w:cs="Times New Roman"/>
                <w:sz w:val="24"/>
                <w:szCs w:val="24"/>
              </w:rPr>
            </w:pPr>
            <w:r>
              <w:rPr>
                <w:rFonts w:ascii="Times New Roman" w:hAnsi="Times New Roman"/>
                <w:sz w:val="24"/>
                <w:szCs w:val="24"/>
              </w:rPr>
              <w:t>Babeș-Bolyai University</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1.2 Faculty</w:t>
            </w:r>
          </w:p>
        </w:tc>
        <w:tc>
          <w:tcPr>
            <w:tcW w:w="7134" w:type="dxa"/>
          </w:tcPr>
          <w:p w:rsidR="00B0242F" w:rsidRPr="0007194F" w:rsidRDefault="001211BE" w:rsidP="00EA511F">
            <w:pPr>
              <w:spacing w:after="0" w:line="240" w:lineRule="auto"/>
              <w:rPr>
                <w:rFonts w:ascii="Times New Roman" w:hAnsi="Times New Roman" w:cs="Times New Roman"/>
                <w:sz w:val="24"/>
                <w:szCs w:val="24"/>
              </w:rPr>
            </w:pPr>
            <w:r>
              <w:rPr>
                <w:rFonts w:ascii="Times New Roman" w:hAnsi="Times New Roman"/>
                <w:sz w:val="24"/>
                <w:szCs w:val="24"/>
              </w:rPr>
              <w:t>Faculty of</w:t>
            </w:r>
            <w:r w:rsidR="005D3695">
              <w:rPr>
                <w:rFonts w:ascii="Times New Roman" w:hAnsi="Times New Roman"/>
                <w:sz w:val="24"/>
                <w:szCs w:val="24"/>
              </w:rPr>
              <w:t xml:space="preserve"> chemistry and chemical engineering</w:t>
            </w:r>
          </w:p>
        </w:tc>
      </w:tr>
      <w:tr w:rsidR="00B0242F" w:rsidRPr="0007194F" w:rsidTr="006E4A32">
        <w:tc>
          <w:tcPr>
            <w:tcW w:w="3794" w:type="dxa"/>
          </w:tcPr>
          <w:p w:rsidR="00B0242F" w:rsidRPr="0007194F" w:rsidRDefault="00B0242F" w:rsidP="00243F1F">
            <w:pPr>
              <w:spacing w:after="0" w:line="240" w:lineRule="auto"/>
              <w:rPr>
                <w:rFonts w:ascii="Times New Roman" w:hAnsi="Times New Roman" w:cs="Times New Roman"/>
                <w:sz w:val="24"/>
                <w:szCs w:val="24"/>
              </w:rPr>
            </w:pPr>
            <w:r>
              <w:rPr>
                <w:rFonts w:ascii="Times New Roman" w:hAnsi="Times New Roman"/>
                <w:sz w:val="24"/>
                <w:szCs w:val="24"/>
              </w:rPr>
              <w:t>1.3 Doctoral school</w:t>
            </w:r>
          </w:p>
        </w:tc>
        <w:tc>
          <w:tcPr>
            <w:tcW w:w="7134"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Chemistry</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1.4 Field of study</w:t>
            </w:r>
          </w:p>
        </w:tc>
        <w:tc>
          <w:tcPr>
            <w:tcW w:w="7134"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Chemistry</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1.5 Study cycle</w:t>
            </w:r>
          </w:p>
        </w:tc>
        <w:tc>
          <w:tcPr>
            <w:tcW w:w="7134" w:type="dxa"/>
          </w:tcPr>
          <w:p w:rsidR="00B0242F" w:rsidRPr="0007194F" w:rsidRDefault="006E4A32" w:rsidP="00EA511F">
            <w:pPr>
              <w:spacing w:after="0" w:line="240" w:lineRule="auto"/>
              <w:rPr>
                <w:rFonts w:ascii="Times New Roman" w:hAnsi="Times New Roman" w:cs="Times New Roman"/>
                <w:sz w:val="24"/>
                <w:szCs w:val="24"/>
              </w:rPr>
            </w:pPr>
            <w:r>
              <w:rPr>
                <w:rFonts w:ascii="Times New Roman" w:hAnsi="Times New Roman"/>
                <w:sz w:val="24"/>
                <w:szCs w:val="24"/>
              </w:rPr>
              <w:t>Doctorate</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1.6 Study program / Qualification</w:t>
            </w:r>
          </w:p>
        </w:tc>
        <w:tc>
          <w:tcPr>
            <w:tcW w:w="7134" w:type="dxa"/>
          </w:tcPr>
          <w:p w:rsidR="00B0242F" w:rsidRPr="006E4A32" w:rsidRDefault="006E4A32" w:rsidP="00EA511F">
            <w:pPr>
              <w:spacing w:after="0" w:line="240" w:lineRule="auto"/>
              <w:rPr>
                <w:rFonts w:ascii="Times New Roman" w:hAnsi="Times New Roman" w:cs="Times New Roman"/>
                <w:sz w:val="24"/>
                <w:szCs w:val="24"/>
              </w:rPr>
            </w:pPr>
            <w:r>
              <w:rPr>
                <w:rFonts w:ascii="Times New Roman" w:hAnsi="Times New Roman"/>
                <w:sz w:val="24"/>
                <w:szCs w:val="24"/>
              </w:rPr>
              <w:t xml:space="preserve">Doctoral training / </w:t>
            </w:r>
            <w:r w:rsidR="00646C4D">
              <w:rPr>
                <w:color w:val="000000"/>
                <w:sz w:val="27"/>
                <w:szCs w:val="27"/>
              </w:rPr>
              <w:t>PhD in</w:t>
            </w:r>
            <w:r w:rsidR="009F1C54">
              <w:rPr>
                <w:rFonts w:ascii="Times New Roman" w:hAnsi="Times New Roman"/>
                <w:sz w:val="24"/>
                <w:szCs w:val="24"/>
              </w:rPr>
              <w:t xml:space="preserve"> CHEMISTRY</w:t>
            </w:r>
          </w:p>
        </w:tc>
      </w:tr>
    </w:tbl>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2. Course data</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5"/>
        <w:gridCol w:w="391"/>
        <w:gridCol w:w="432"/>
        <w:gridCol w:w="1080"/>
        <w:gridCol w:w="180"/>
        <w:gridCol w:w="360"/>
        <w:gridCol w:w="2160"/>
        <w:gridCol w:w="540"/>
        <w:gridCol w:w="2340"/>
        <w:gridCol w:w="537"/>
      </w:tblGrid>
      <w:tr w:rsidR="00B0242F" w:rsidRPr="0007194F">
        <w:tc>
          <w:tcPr>
            <w:tcW w:w="2808" w:type="dxa"/>
            <w:gridSpan w:val="3"/>
          </w:tcPr>
          <w:p w:rsidR="00B0242F" w:rsidRPr="006912E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2.1 Name of discipline</w:t>
            </w:r>
          </w:p>
        </w:tc>
        <w:tc>
          <w:tcPr>
            <w:tcW w:w="7197" w:type="dxa"/>
            <w:gridSpan w:val="7"/>
          </w:tcPr>
          <w:p w:rsidR="00B0242F" w:rsidRPr="006912EF" w:rsidRDefault="005D3695" w:rsidP="005D3695">
            <w:pPr>
              <w:spacing w:after="0" w:line="240" w:lineRule="auto"/>
              <w:rPr>
                <w:rFonts w:ascii="Times New Roman" w:hAnsi="Times New Roman" w:cs="Times New Roman"/>
                <w:sz w:val="24"/>
                <w:szCs w:val="24"/>
              </w:rPr>
            </w:pPr>
            <w:r>
              <w:rPr>
                <w:rFonts w:ascii="Times New Roman" w:hAnsi="Times New Roman"/>
                <w:sz w:val="24"/>
                <w:szCs w:val="24"/>
              </w:rPr>
              <w:t xml:space="preserve">Supramolecular chemistry and stereochemistry </w:t>
            </w:r>
            <w:r>
              <w:rPr>
                <w:rFonts w:ascii="Times New Roman" w:hAnsi="Times New Roman"/>
                <w:b/>
                <w:bCs/>
                <w:sz w:val="24"/>
                <w:szCs w:val="24"/>
              </w:rPr>
              <w:t>–</w:t>
            </w:r>
            <w:r w:rsidRPr="00FA68BB">
              <w:rPr>
                <w:rFonts w:ascii="Times New Roman" w:hAnsi="Times New Roman"/>
                <w:b/>
                <w:bCs/>
                <w:sz w:val="24"/>
                <w:szCs w:val="24"/>
              </w:rPr>
              <w:t xml:space="preserve"> </w:t>
            </w:r>
            <w:r>
              <w:rPr>
                <w:rFonts w:ascii="Times New Roman" w:hAnsi="Times New Roman"/>
                <w:b/>
                <w:bCs/>
                <w:sz w:val="24"/>
                <w:szCs w:val="24"/>
              </w:rPr>
              <w:t>SDC-19-3</w:t>
            </w:r>
          </w:p>
        </w:tc>
      </w:tr>
      <w:tr w:rsidR="00B0242F" w:rsidRPr="0007194F">
        <w:tc>
          <w:tcPr>
            <w:tcW w:w="4068" w:type="dxa"/>
            <w:gridSpan w:val="5"/>
          </w:tcPr>
          <w:p w:rsidR="00B0242F" w:rsidRPr="006912E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2.2 Teacher responsible for lectures</w:t>
            </w:r>
          </w:p>
        </w:tc>
        <w:tc>
          <w:tcPr>
            <w:tcW w:w="5937" w:type="dxa"/>
            <w:gridSpan w:val="5"/>
          </w:tcPr>
          <w:p w:rsidR="00B0242F" w:rsidRPr="006912EF" w:rsidRDefault="005D3695" w:rsidP="00EA511F">
            <w:pPr>
              <w:spacing w:after="0" w:line="240" w:lineRule="auto"/>
              <w:rPr>
                <w:rFonts w:ascii="Times New Roman" w:hAnsi="Times New Roman" w:cs="Times New Roman"/>
                <w:sz w:val="24"/>
                <w:szCs w:val="24"/>
              </w:rPr>
            </w:pPr>
            <w:r w:rsidRPr="001400D3">
              <w:rPr>
                <w:rFonts w:ascii="Times New Roman" w:hAnsi="Times New Roman"/>
                <w:sz w:val="24"/>
                <w:szCs w:val="24"/>
              </w:rPr>
              <w:t>Prof.. dr. Ion Grosu</w:t>
            </w:r>
          </w:p>
        </w:tc>
      </w:tr>
      <w:tr w:rsidR="00B0242F" w:rsidRPr="0007194F">
        <w:tc>
          <w:tcPr>
            <w:tcW w:w="4068" w:type="dxa"/>
            <w:gridSpan w:val="5"/>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2.3 Teacher responsible for seminars</w:t>
            </w:r>
          </w:p>
        </w:tc>
        <w:tc>
          <w:tcPr>
            <w:tcW w:w="5937" w:type="dxa"/>
            <w:gridSpan w:val="5"/>
          </w:tcPr>
          <w:p w:rsidR="00B0242F" w:rsidRPr="0007194F" w:rsidRDefault="005D3695" w:rsidP="00EA511F">
            <w:pPr>
              <w:spacing w:after="0" w:line="240" w:lineRule="auto"/>
              <w:rPr>
                <w:rFonts w:ascii="Times New Roman" w:hAnsi="Times New Roman" w:cs="Times New Roman"/>
                <w:sz w:val="24"/>
                <w:szCs w:val="24"/>
              </w:rPr>
            </w:pPr>
            <w:r w:rsidRPr="001400D3">
              <w:rPr>
                <w:rFonts w:ascii="Times New Roman" w:hAnsi="Times New Roman"/>
                <w:sz w:val="24"/>
                <w:szCs w:val="24"/>
              </w:rPr>
              <w:t>Prof.. dr. Ion Grosu</w:t>
            </w:r>
          </w:p>
        </w:tc>
      </w:tr>
      <w:tr w:rsidR="00B0242F" w:rsidRPr="0007194F">
        <w:tc>
          <w:tcPr>
            <w:tcW w:w="1985" w:type="dxa"/>
          </w:tcPr>
          <w:p w:rsidR="00B0242F" w:rsidRPr="0007194F" w:rsidRDefault="00B0242F" w:rsidP="00EA511F">
            <w:pPr>
              <w:spacing w:after="0" w:line="240" w:lineRule="auto"/>
              <w:ind w:right="-189"/>
              <w:rPr>
                <w:rFonts w:ascii="Times New Roman" w:hAnsi="Times New Roman" w:cs="Times New Roman"/>
                <w:sz w:val="24"/>
                <w:szCs w:val="24"/>
              </w:rPr>
            </w:pPr>
            <w:r>
              <w:rPr>
                <w:rFonts w:ascii="Times New Roman" w:hAnsi="Times New Roman"/>
                <w:sz w:val="24"/>
                <w:szCs w:val="24"/>
              </w:rPr>
              <w:t>2.4 Year of study</w:t>
            </w:r>
          </w:p>
        </w:tc>
        <w:tc>
          <w:tcPr>
            <w:tcW w:w="391"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I</w:t>
            </w:r>
          </w:p>
        </w:tc>
        <w:tc>
          <w:tcPr>
            <w:tcW w:w="1512" w:type="dxa"/>
            <w:gridSpan w:val="2"/>
          </w:tcPr>
          <w:p w:rsidR="00B0242F" w:rsidRPr="0007194F" w:rsidRDefault="00B0242F" w:rsidP="00EA511F">
            <w:pPr>
              <w:spacing w:after="0" w:line="240" w:lineRule="auto"/>
              <w:ind w:left="-82" w:right="-164"/>
              <w:rPr>
                <w:rFonts w:ascii="Times New Roman" w:hAnsi="Times New Roman" w:cs="Times New Roman"/>
                <w:sz w:val="24"/>
                <w:szCs w:val="24"/>
              </w:rPr>
            </w:pPr>
            <w:r>
              <w:rPr>
                <w:rFonts w:ascii="Times New Roman" w:hAnsi="Times New Roman"/>
                <w:sz w:val="24"/>
                <w:szCs w:val="24"/>
              </w:rPr>
              <w:t>2.5 Semester</w:t>
            </w:r>
          </w:p>
        </w:tc>
        <w:tc>
          <w:tcPr>
            <w:tcW w:w="540" w:type="dxa"/>
            <w:gridSpan w:val="2"/>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II</w:t>
            </w:r>
          </w:p>
        </w:tc>
        <w:tc>
          <w:tcPr>
            <w:tcW w:w="2160" w:type="dxa"/>
          </w:tcPr>
          <w:p w:rsidR="00B0242F" w:rsidRPr="0007194F" w:rsidRDefault="00B0242F" w:rsidP="00EA511F">
            <w:pPr>
              <w:spacing w:after="0" w:line="240" w:lineRule="auto"/>
              <w:ind w:left="-80" w:right="-122"/>
              <w:rPr>
                <w:rFonts w:ascii="Times New Roman" w:hAnsi="Times New Roman" w:cs="Times New Roman"/>
                <w:sz w:val="24"/>
                <w:szCs w:val="24"/>
              </w:rPr>
            </w:pPr>
            <w:r>
              <w:rPr>
                <w:rFonts w:ascii="Times New Roman" w:hAnsi="Times New Roman"/>
                <w:sz w:val="24"/>
                <w:szCs w:val="24"/>
              </w:rPr>
              <w:t>2.6. Type of evaluation</w:t>
            </w:r>
          </w:p>
        </w:tc>
        <w:tc>
          <w:tcPr>
            <w:tcW w:w="540"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2340" w:type="dxa"/>
          </w:tcPr>
          <w:p w:rsidR="00B0242F" w:rsidRPr="0007194F" w:rsidRDefault="00B0242F" w:rsidP="00EA511F">
            <w:pPr>
              <w:spacing w:after="0" w:line="240" w:lineRule="auto"/>
              <w:ind w:left="-38" w:right="-136"/>
              <w:rPr>
                <w:rFonts w:ascii="Times New Roman" w:hAnsi="Times New Roman" w:cs="Times New Roman"/>
                <w:sz w:val="24"/>
                <w:szCs w:val="24"/>
              </w:rPr>
            </w:pPr>
            <w:r>
              <w:rPr>
                <w:rFonts w:ascii="Times New Roman" w:hAnsi="Times New Roman"/>
                <w:sz w:val="24"/>
                <w:szCs w:val="24"/>
              </w:rPr>
              <w:t>2.7 Course framework</w:t>
            </w:r>
          </w:p>
        </w:tc>
        <w:tc>
          <w:tcPr>
            <w:tcW w:w="537" w:type="dxa"/>
          </w:tcPr>
          <w:p w:rsidR="00B0242F" w:rsidRPr="0007194F" w:rsidRDefault="005D3695" w:rsidP="006E4A32">
            <w:pPr>
              <w:spacing w:after="0" w:line="240" w:lineRule="auto"/>
              <w:rPr>
                <w:rFonts w:ascii="Times New Roman" w:hAnsi="Times New Roman" w:cs="Times New Roman"/>
                <w:sz w:val="24"/>
                <w:szCs w:val="24"/>
              </w:rPr>
            </w:pPr>
            <w:r>
              <w:rPr>
                <w:rFonts w:ascii="Times New Roman" w:hAnsi="Times New Roman" w:cs="Times New Roman"/>
                <w:sz w:val="24"/>
                <w:szCs w:val="24"/>
              </w:rPr>
              <w:t>OP</w:t>
            </w:r>
          </w:p>
        </w:tc>
      </w:tr>
    </w:tbl>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3. Estimated total time of teaching activities</w:t>
      </w:r>
      <w:r>
        <w:rPr>
          <w:rFonts w:ascii="Times New Roman" w:hAnsi="Times New Roman"/>
          <w:sz w:val="24"/>
          <w:szCs w:val="24"/>
        </w:rPr>
        <w:t xml:space="preserve"> (hours per semester)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0"/>
        <w:gridCol w:w="458"/>
        <w:gridCol w:w="116"/>
        <w:gridCol w:w="964"/>
        <w:gridCol w:w="1138"/>
        <w:gridCol w:w="591"/>
        <w:gridCol w:w="2321"/>
        <w:gridCol w:w="647"/>
      </w:tblGrid>
      <w:tr w:rsidR="00B0242F" w:rsidRPr="0007194F" w:rsidTr="005D3695">
        <w:tc>
          <w:tcPr>
            <w:tcW w:w="3790"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3.1 Hours per week</w:t>
            </w:r>
          </w:p>
        </w:tc>
        <w:tc>
          <w:tcPr>
            <w:tcW w:w="574" w:type="dxa"/>
            <w:gridSpan w:val="2"/>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sz w:val="24"/>
                <w:szCs w:val="24"/>
              </w:rPr>
              <w:t>2</w:t>
            </w:r>
          </w:p>
        </w:tc>
        <w:tc>
          <w:tcPr>
            <w:tcW w:w="2102" w:type="dxa"/>
            <w:gridSpan w:val="2"/>
          </w:tcPr>
          <w:p w:rsidR="00B0242F" w:rsidRPr="0007194F" w:rsidRDefault="00B0242F" w:rsidP="00EA511F">
            <w:pPr>
              <w:spacing w:after="0" w:line="240" w:lineRule="auto"/>
              <w:ind w:right="-189"/>
              <w:rPr>
                <w:rFonts w:ascii="Times New Roman" w:hAnsi="Times New Roman" w:cs="Times New Roman"/>
                <w:sz w:val="24"/>
                <w:szCs w:val="24"/>
              </w:rPr>
            </w:pPr>
            <w:r>
              <w:rPr>
                <w:rFonts w:ascii="Times New Roman" w:hAnsi="Times New Roman"/>
                <w:sz w:val="24"/>
                <w:szCs w:val="24"/>
              </w:rPr>
              <w:t>Out of which: 3.2 Lectures</w:t>
            </w:r>
          </w:p>
        </w:tc>
        <w:tc>
          <w:tcPr>
            <w:tcW w:w="591"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sz w:val="24"/>
                <w:szCs w:val="24"/>
              </w:rPr>
              <w:t>1</w:t>
            </w:r>
          </w:p>
        </w:tc>
        <w:tc>
          <w:tcPr>
            <w:tcW w:w="2321" w:type="dxa"/>
          </w:tcPr>
          <w:p w:rsidR="00B0242F" w:rsidRPr="0007194F" w:rsidRDefault="00B0242F" w:rsidP="00EA511F">
            <w:pPr>
              <w:spacing w:after="0" w:line="240" w:lineRule="auto"/>
              <w:ind w:right="-170"/>
              <w:rPr>
                <w:rFonts w:ascii="Times New Roman" w:hAnsi="Times New Roman" w:cs="Times New Roman"/>
                <w:sz w:val="24"/>
                <w:szCs w:val="24"/>
              </w:rPr>
            </w:pPr>
            <w:r>
              <w:rPr>
                <w:rFonts w:ascii="Times New Roman" w:hAnsi="Times New Roman"/>
                <w:sz w:val="24"/>
                <w:szCs w:val="24"/>
              </w:rPr>
              <w:t>3.3 Seminars / Laboratory classes</w:t>
            </w:r>
          </w:p>
        </w:tc>
        <w:tc>
          <w:tcPr>
            <w:tcW w:w="647"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sz w:val="24"/>
                <w:szCs w:val="24"/>
              </w:rPr>
              <w:t>1</w:t>
            </w:r>
          </w:p>
        </w:tc>
      </w:tr>
      <w:tr w:rsidR="00B0242F" w:rsidRPr="0007194F" w:rsidTr="005D3695">
        <w:tc>
          <w:tcPr>
            <w:tcW w:w="3790" w:type="dxa"/>
            <w:shd w:val="clear" w:color="auto" w:fill="D9D9D9"/>
          </w:tcPr>
          <w:p w:rsidR="00B0242F" w:rsidRPr="0007194F" w:rsidRDefault="00B0242F" w:rsidP="00EA511F">
            <w:pPr>
              <w:spacing w:after="0" w:line="240" w:lineRule="auto"/>
              <w:ind w:right="-192"/>
              <w:rPr>
                <w:rFonts w:ascii="Times New Roman" w:hAnsi="Times New Roman" w:cs="Times New Roman"/>
                <w:sz w:val="24"/>
                <w:szCs w:val="24"/>
              </w:rPr>
            </w:pPr>
            <w:r>
              <w:rPr>
                <w:rFonts w:ascii="Times New Roman" w:hAnsi="Times New Roman"/>
                <w:sz w:val="24"/>
                <w:szCs w:val="24"/>
              </w:rPr>
              <w:t>3.4 Total hours in the curriculum</w:t>
            </w:r>
          </w:p>
        </w:tc>
        <w:tc>
          <w:tcPr>
            <w:tcW w:w="574" w:type="dxa"/>
            <w:gridSpan w:val="2"/>
            <w:shd w:val="clear" w:color="auto" w:fill="D9D9D9"/>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sz w:val="24"/>
                <w:szCs w:val="24"/>
              </w:rPr>
              <w:t>24</w:t>
            </w:r>
          </w:p>
        </w:tc>
        <w:tc>
          <w:tcPr>
            <w:tcW w:w="2102" w:type="dxa"/>
            <w:gridSpan w:val="2"/>
            <w:shd w:val="clear" w:color="auto" w:fill="D9D9D9"/>
          </w:tcPr>
          <w:p w:rsidR="00B0242F" w:rsidRPr="0007194F" w:rsidRDefault="00B0242F" w:rsidP="00EA511F">
            <w:pPr>
              <w:spacing w:after="0" w:line="240" w:lineRule="auto"/>
              <w:ind w:right="-178"/>
              <w:rPr>
                <w:rFonts w:ascii="Times New Roman" w:hAnsi="Times New Roman" w:cs="Times New Roman"/>
                <w:sz w:val="24"/>
                <w:szCs w:val="24"/>
              </w:rPr>
            </w:pPr>
            <w:r>
              <w:rPr>
                <w:rFonts w:ascii="Times New Roman" w:hAnsi="Times New Roman"/>
                <w:sz w:val="24"/>
                <w:szCs w:val="24"/>
              </w:rPr>
              <w:t>Out of which: 3.5 Lectures</w:t>
            </w:r>
          </w:p>
        </w:tc>
        <w:tc>
          <w:tcPr>
            <w:tcW w:w="591" w:type="dxa"/>
            <w:shd w:val="clear" w:color="auto" w:fill="D9D9D9"/>
          </w:tcPr>
          <w:p w:rsidR="00B0242F" w:rsidRPr="0007194F" w:rsidRDefault="005D3695" w:rsidP="00385157">
            <w:pPr>
              <w:spacing w:after="0" w:line="240" w:lineRule="auto"/>
              <w:rPr>
                <w:rFonts w:ascii="Times New Roman" w:hAnsi="Times New Roman" w:cs="Times New Roman"/>
                <w:sz w:val="24"/>
                <w:szCs w:val="24"/>
              </w:rPr>
            </w:pPr>
            <w:r>
              <w:rPr>
                <w:rFonts w:ascii="Times New Roman" w:hAnsi="Times New Roman"/>
                <w:sz w:val="24"/>
                <w:szCs w:val="24"/>
              </w:rPr>
              <w:t>12</w:t>
            </w:r>
          </w:p>
        </w:tc>
        <w:tc>
          <w:tcPr>
            <w:tcW w:w="2321" w:type="dxa"/>
            <w:shd w:val="clear" w:color="auto" w:fill="D9D9D9"/>
          </w:tcPr>
          <w:p w:rsidR="00B0242F" w:rsidRPr="0007194F" w:rsidRDefault="00B0242F" w:rsidP="00EA511F">
            <w:pPr>
              <w:spacing w:after="0" w:line="240" w:lineRule="auto"/>
              <w:ind w:right="-128"/>
              <w:rPr>
                <w:rFonts w:ascii="Times New Roman" w:hAnsi="Times New Roman" w:cs="Times New Roman"/>
                <w:sz w:val="24"/>
                <w:szCs w:val="24"/>
              </w:rPr>
            </w:pPr>
            <w:r>
              <w:rPr>
                <w:rFonts w:ascii="Times New Roman" w:hAnsi="Times New Roman"/>
                <w:sz w:val="24"/>
                <w:szCs w:val="24"/>
              </w:rPr>
              <w:t>3.6 Seminars / Laboratory classes</w:t>
            </w:r>
          </w:p>
        </w:tc>
        <w:tc>
          <w:tcPr>
            <w:tcW w:w="647" w:type="dxa"/>
            <w:shd w:val="clear" w:color="auto" w:fill="D9D9D9"/>
          </w:tcPr>
          <w:p w:rsidR="00B0242F" w:rsidRPr="0007194F" w:rsidRDefault="005D3695" w:rsidP="00385157">
            <w:pPr>
              <w:spacing w:after="0" w:line="240" w:lineRule="auto"/>
              <w:rPr>
                <w:rFonts w:ascii="Times New Roman" w:hAnsi="Times New Roman" w:cs="Times New Roman"/>
                <w:sz w:val="24"/>
                <w:szCs w:val="24"/>
              </w:rPr>
            </w:pPr>
            <w:r>
              <w:rPr>
                <w:rFonts w:ascii="Times New Roman" w:hAnsi="Times New Roman"/>
                <w:sz w:val="24"/>
                <w:szCs w:val="24"/>
              </w:rPr>
              <w:t>12</w:t>
            </w:r>
          </w:p>
        </w:tc>
      </w:tr>
      <w:tr w:rsidR="00B0242F" w:rsidRPr="0007194F" w:rsidTr="005D3695">
        <w:tc>
          <w:tcPr>
            <w:tcW w:w="9378" w:type="dxa"/>
            <w:gridSpan w:val="7"/>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Allocation of study time:</w:t>
            </w:r>
          </w:p>
        </w:tc>
        <w:tc>
          <w:tcPr>
            <w:tcW w:w="647" w:type="dxa"/>
          </w:tcPr>
          <w:p w:rsidR="00B0242F" w:rsidRPr="0007194F" w:rsidRDefault="00B0242F" w:rsidP="00EA511F">
            <w:pPr>
              <w:spacing w:after="0" w:line="240" w:lineRule="auto"/>
              <w:rPr>
                <w:rFonts w:ascii="Times New Roman" w:hAnsi="Times New Roman" w:cs="Times New Roman"/>
                <w:sz w:val="24"/>
                <w:szCs w:val="24"/>
              </w:rPr>
            </w:pPr>
          </w:p>
        </w:tc>
      </w:tr>
      <w:tr w:rsidR="00B0242F" w:rsidRPr="0007194F" w:rsidTr="005D3695">
        <w:tc>
          <w:tcPr>
            <w:tcW w:w="9378" w:type="dxa"/>
            <w:gridSpan w:val="7"/>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Study supported by textbooks, other course materials, recommended bibliography and personal student notes</w:t>
            </w:r>
          </w:p>
        </w:tc>
        <w:tc>
          <w:tcPr>
            <w:tcW w:w="647"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r>
      <w:tr w:rsidR="00B0242F" w:rsidRPr="0007194F" w:rsidTr="005D3695">
        <w:tc>
          <w:tcPr>
            <w:tcW w:w="9378" w:type="dxa"/>
            <w:gridSpan w:val="7"/>
          </w:tcPr>
          <w:p w:rsidR="00B0242F" w:rsidRPr="0007194F" w:rsidRDefault="00B0242F" w:rsidP="00681614">
            <w:pPr>
              <w:spacing w:after="0" w:line="240" w:lineRule="auto"/>
              <w:rPr>
                <w:rFonts w:ascii="Times New Roman" w:hAnsi="Times New Roman" w:cs="Times New Roman"/>
                <w:sz w:val="24"/>
                <w:szCs w:val="24"/>
              </w:rPr>
            </w:pPr>
            <w:r>
              <w:rPr>
                <w:rFonts w:ascii="Times New Roman" w:hAnsi="Times New Roman"/>
                <w:sz w:val="24"/>
                <w:szCs w:val="24"/>
              </w:rPr>
              <w:t>Additional learning activities in the library, on specialized online platforms and in the field</w:t>
            </w:r>
          </w:p>
        </w:tc>
        <w:tc>
          <w:tcPr>
            <w:tcW w:w="647"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r>
      <w:tr w:rsidR="00B0242F" w:rsidRPr="0007194F" w:rsidTr="005D3695">
        <w:tc>
          <w:tcPr>
            <w:tcW w:w="9378" w:type="dxa"/>
            <w:gridSpan w:val="7"/>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Preparation of seminars / laboratory classes, topics, papers, portfolios and essays</w:t>
            </w:r>
          </w:p>
        </w:tc>
        <w:tc>
          <w:tcPr>
            <w:tcW w:w="647"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r>
      <w:tr w:rsidR="00B0242F" w:rsidRPr="0007194F" w:rsidTr="005D3695">
        <w:tc>
          <w:tcPr>
            <w:tcW w:w="9378" w:type="dxa"/>
            <w:gridSpan w:val="7"/>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Tutoring</w:t>
            </w:r>
          </w:p>
        </w:tc>
        <w:tc>
          <w:tcPr>
            <w:tcW w:w="647"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r>
      <w:tr w:rsidR="00B0242F" w:rsidRPr="0007194F" w:rsidTr="005D3695">
        <w:tc>
          <w:tcPr>
            <w:tcW w:w="9378" w:type="dxa"/>
            <w:gridSpan w:val="7"/>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 xml:space="preserve">Examinations </w:t>
            </w:r>
          </w:p>
        </w:tc>
        <w:tc>
          <w:tcPr>
            <w:tcW w:w="647"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B0242F" w:rsidRPr="0007194F" w:rsidTr="005D3695">
        <w:tc>
          <w:tcPr>
            <w:tcW w:w="9378" w:type="dxa"/>
            <w:gridSpan w:val="7"/>
          </w:tcPr>
          <w:p w:rsidR="00B0242F" w:rsidRPr="0007194F" w:rsidRDefault="00B0242F" w:rsidP="006E4A32">
            <w:pPr>
              <w:spacing w:after="0" w:line="240" w:lineRule="auto"/>
              <w:rPr>
                <w:rFonts w:ascii="Times New Roman" w:hAnsi="Times New Roman" w:cs="Times New Roman"/>
                <w:sz w:val="24"/>
                <w:szCs w:val="24"/>
              </w:rPr>
            </w:pPr>
            <w:r>
              <w:rPr>
                <w:rFonts w:ascii="Times New Roman" w:hAnsi="Times New Roman"/>
                <w:sz w:val="24"/>
                <w:szCs w:val="24"/>
              </w:rPr>
              <w:t>Other activities: -</w:t>
            </w:r>
          </w:p>
        </w:tc>
        <w:tc>
          <w:tcPr>
            <w:tcW w:w="647" w:type="dxa"/>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B0242F" w:rsidRPr="0007194F">
        <w:trPr>
          <w:gridAfter w:val="4"/>
          <w:wAfter w:w="4697" w:type="dxa"/>
        </w:trPr>
        <w:tc>
          <w:tcPr>
            <w:tcW w:w="4248" w:type="dxa"/>
            <w:gridSpan w:val="2"/>
            <w:shd w:val="clear" w:color="auto" w:fill="D9D9D9"/>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3.7 Individual study (total hours)</w:t>
            </w:r>
          </w:p>
        </w:tc>
        <w:tc>
          <w:tcPr>
            <w:tcW w:w="1080" w:type="dxa"/>
            <w:gridSpan w:val="2"/>
            <w:shd w:val="clear" w:color="auto" w:fill="D9D9D9"/>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226</w:t>
            </w:r>
          </w:p>
        </w:tc>
      </w:tr>
      <w:tr w:rsidR="00B0242F" w:rsidRPr="0007194F">
        <w:trPr>
          <w:gridAfter w:val="4"/>
          <w:wAfter w:w="4697" w:type="dxa"/>
        </w:trPr>
        <w:tc>
          <w:tcPr>
            <w:tcW w:w="4248" w:type="dxa"/>
            <w:gridSpan w:val="2"/>
            <w:shd w:val="clear" w:color="auto" w:fill="D9D9D9"/>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3.8 Total hours per semester</w:t>
            </w:r>
          </w:p>
        </w:tc>
        <w:tc>
          <w:tcPr>
            <w:tcW w:w="1080" w:type="dxa"/>
            <w:gridSpan w:val="2"/>
            <w:shd w:val="clear" w:color="auto" w:fill="D9D9D9"/>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250</w:t>
            </w:r>
          </w:p>
        </w:tc>
      </w:tr>
      <w:tr w:rsidR="00B0242F" w:rsidRPr="0007194F">
        <w:trPr>
          <w:gridAfter w:val="4"/>
          <w:wAfter w:w="4697" w:type="dxa"/>
        </w:trPr>
        <w:tc>
          <w:tcPr>
            <w:tcW w:w="4248" w:type="dxa"/>
            <w:gridSpan w:val="2"/>
            <w:shd w:val="clear" w:color="auto" w:fill="D9D9D9"/>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3.9 Number of credits</w:t>
            </w:r>
          </w:p>
        </w:tc>
        <w:tc>
          <w:tcPr>
            <w:tcW w:w="1080" w:type="dxa"/>
            <w:gridSpan w:val="2"/>
            <w:shd w:val="clear" w:color="auto" w:fill="D9D9D9"/>
          </w:tcPr>
          <w:p w:rsidR="00B0242F" w:rsidRPr="0007194F" w:rsidRDefault="005D3695"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r>
    </w:tbl>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4. Preconditions</w:t>
      </w:r>
      <w:r>
        <w:rPr>
          <w:rFonts w:ascii="Times New Roman" w:hAnsi="Times New Roman"/>
          <w:sz w:val="24"/>
          <w:szCs w:val="24"/>
        </w:rPr>
        <w:t xml:space="preserve"> (where applicable)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7694"/>
      </w:tblGrid>
      <w:tr w:rsidR="00B0242F" w:rsidRPr="0007194F">
        <w:tc>
          <w:tcPr>
            <w:tcW w:w="2988"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4.1 </w:t>
            </w:r>
            <w:r w:rsidR="009477C2">
              <w:rPr>
                <w:rFonts w:ascii="Times New Roman" w:hAnsi="Times New Roman"/>
                <w:sz w:val="24"/>
                <w:szCs w:val="24"/>
              </w:rPr>
              <w:t>C</w:t>
            </w:r>
            <w:r>
              <w:rPr>
                <w:rFonts w:ascii="Times New Roman" w:hAnsi="Times New Roman"/>
                <w:sz w:val="24"/>
                <w:szCs w:val="24"/>
              </w:rPr>
              <w:t>urriculum</w:t>
            </w:r>
          </w:p>
        </w:tc>
        <w:tc>
          <w:tcPr>
            <w:tcW w:w="7694" w:type="dxa"/>
          </w:tcPr>
          <w:p w:rsidR="00B0242F" w:rsidRPr="0007194F" w:rsidRDefault="00B0242F" w:rsidP="00EA511F">
            <w:pPr>
              <w:numPr>
                <w:ilvl w:val="0"/>
                <w:numId w:val="8"/>
              </w:numPr>
              <w:spacing w:after="0" w:line="240" w:lineRule="auto"/>
              <w:rPr>
                <w:rFonts w:ascii="Times New Roman" w:hAnsi="Times New Roman" w:cs="Times New Roman"/>
                <w:sz w:val="24"/>
                <w:szCs w:val="24"/>
              </w:rPr>
            </w:pPr>
          </w:p>
        </w:tc>
      </w:tr>
      <w:tr w:rsidR="00B0242F" w:rsidRPr="0007194F">
        <w:tc>
          <w:tcPr>
            <w:tcW w:w="2988"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4.2 </w:t>
            </w:r>
            <w:r w:rsidR="009477C2">
              <w:rPr>
                <w:rFonts w:ascii="Times New Roman" w:hAnsi="Times New Roman"/>
                <w:sz w:val="24"/>
                <w:szCs w:val="24"/>
              </w:rPr>
              <w:t>C</w:t>
            </w:r>
            <w:r>
              <w:rPr>
                <w:rFonts w:ascii="Times New Roman" w:hAnsi="Times New Roman"/>
                <w:sz w:val="24"/>
                <w:szCs w:val="24"/>
              </w:rPr>
              <w:t>ompetences</w:t>
            </w:r>
          </w:p>
        </w:tc>
        <w:tc>
          <w:tcPr>
            <w:tcW w:w="7694" w:type="dxa"/>
          </w:tcPr>
          <w:p w:rsidR="00B848B9" w:rsidRPr="0007194F" w:rsidRDefault="00B848B9" w:rsidP="00EA511F">
            <w:pPr>
              <w:numPr>
                <w:ilvl w:val="0"/>
                <w:numId w:val="8"/>
              </w:numPr>
              <w:spacing w:after="0" w:line="240" w:lineRule="auto"/>
              <w:rPr>
                <w:rFonts w:ascii="Times New Roman" w:hAnsi="Times New Roman" w:cs="Times New Roman"/>
                <w:sz w:val="24"/>
                <w:szCs w:val="24"/>
              </w:rPr>
            </w:pPr>
          </w:p>
        </w:tc>
      </w:tr>
    </w:tbl>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5. Conditions</w:t>
      </w:r>
      <w:r>
        <w:rPr>
          <w:rFonts w:ascii="Times New Roman" w:hAnsi="Times New Roman"/>
          <w:sz w:val="24"/>
          <w:szCs w:val="24"/>
        </w:rPr>
        <w:t xml:space="preserve"> (where applicable)</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455"/>
      </w:tblGrid>
      <w:tr w:rsidR="00B0242F" w:rsidRPr="0007194F" w:rsidTr="0025112F">
        <w:tc>
          <w:tcPr>
            <w:tcW w:w="3227"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5.1 </w:t>
            </w:r>
            <w:r w:rsidR="009477C2">
              <w:rPr>
                <w:rFonts w:ascii="Times New Roman" w:hAnsi="Times New Roman"/>
                <w:sz w:val="24"/>
                <w:szCs w:val="24"/>
              </w:rPr>
              <w:t>C</w:t>
            </w:r>
            <w:r>
              <w:rPr>
                <w:rFonts w:ascii="Times New Roman" w:hAnsi="Times New Roman"/>
                <w:sz w:val="24"/>
                <w:szCs w:val="24"/>
              </w:rPr>
              <w:t>onducting lectures</w:t>
            </w:r>
          </w:p>
        </w:tc>
        <w:tc>
          <w:tcPr>
            <w:tcW w:w="7455" w:type="dxa"/>
          </w:tcPr>
          <w:p w:rsidR="00916E16" w:rsidRPr="00916E16" w:rsidRDefault="005D3695" w:rsidP="005D3695">
            <w:pPr>
              <w:spacing w:after="0" w:line="240" w:lineRule="auto"/>
              <w:ind w:left="641"/>
              <w:jc w:val="both"/>
              <w:rPr>
                <w:rFonts w:ascii="Times New Roman" w:hAnsi="Times New Roman" w:cs="Times New Roman"/>
                <w:sz w:val="24"/>
                <w:szCs w:val="24"/>
                <w:lang w:val="it-IT"/>
              </w:rPr>
            </w:pPr>
            <w:r>
              <w:rPr>
                <w:rFonts w:ascii="Times New Roman" w:hAnsi="Times New Roman" w:cs="Times New Roman"/>
                <w:sz w:val="24"/>
                <w:szCs w:val="24"/>
                <w:lang w:val="it-IT"/>
              </w:rPr>
              <w:t>-</w:t>
            </w:r>
          </w:p>
        </w:tc>
      </w:tr>
      <w:tr w:rsidR="00B0242F" w:rsidRPr="0007194F" w:rsidTr="0025112F">
        <w:tc>
          <w:tcPr>
            <w:tcW w:w="3227"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5.2 </w:t>
            </w:r>
            <w:r w:rsidR="009477C2">
              <w:rPr>
                <w:rFonts w:ascii="Times New Roman" w:hAnsi="Times New Roman"/>
                <w:sz w:val="24"/>
                <w:szCs w:val="24"/>
              </w:rPr>
              <w:t>C</w:t>
            </w:r>
            <w:r>
              <w:rPr>
                <w:rFonts w:ascii="Times New Roman" w:hAnsi="Times New Roman"/>
                <w:sz w:val="24"/>
                <w:szCs w:val="24"/>
              </w:rPr>
              <w:t>onducting seminars / laboratory classes</w:t>
            </w:r>
          </w:p>
        </w:tc>
        <w:tc>
          <w:tcPr>
            <w:tcW w:w="7455" w:type="dxa"/>
          </w:tcPr>
          <w:p w:rsidR="00B0242F" w:rsidRPr="0007194F" w:rsidRDefault="005D3695" w:rsidP="005D3695">
            <w:pPr>
              <w:spacing w:after="0" w:line="240" w:lineRule="auto"/>
              <w:ind w:left="641"/>
              <w:rPr>
                <w:rFonts w:ascii="Times New Roman" w:hAnsi="Times New Roman" w:cs="Times New Roman"/>
                <w:sz w:val="24"/>
                <w:szCs w:val="24"/>
              </w:rPr>
            </w:pPr>
            <w:r>
              <w:rPr>
                <w:rFonts w:ascii="Times New Roman" w:hAnsi="Times New Roman" w:cs="Times New Roman"/>
                <w:sz w:val="24"/>
                <w:szCs w:val="24"/>
              </w:rPr>
              <w:t>-</w:t>
            </w:r>
          </w:p>
        </w:tc>
      </w:tr>
    </w:tbl>
    <w:p w:rsidR="00B0242F" w:rsidRPr="0007194F" w:rsidRDefault="00B0242F" w:rsidP="00EA511F">
      <w:pPr>
        <w:spacing w:after="0" w:line="240" w:lineRule="auto"/>
        <w:rPr>
          <w:rFonts w:ascii="Times New Roman" w:hAnsi="Times New Roman" w:cs="Times New Roman"/>
          <w:b/>
          <w:bCs/>
          <w:sz w:val="24"/>
          <w:szCs w:val="24"/>
        </w:rPr>
      </w:pPr>
      <w:r>
        <w:rPr>
          <w:rFonts w:ascii="Times New Roman" w:hAnsi="Times New Roman"/>
          <w:b/>
          <w:bCs/>
          <w:sz w:val="24"/>
          <w:szCs w:val="24"/>
        </w:rPr>
        <w:t>6. Specific competences acquired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9674"/>
      </w:tblGrid>
      <w:tr w:rsidR="00B0242F" w:rsidRPr="0007194F">
        <w:trPr>
          <w:cantSplit/>
          <w:trHeight w:val="2872"/>
        </w:trPr>
        <w:tc>
          <w:tcPr>
            <w:tcW w:w="1008" w:type="dxa"/>
            <w:shd w:val="clear" w:color="auto" w:fill="D9D9D9"/>
            <w:textDirection w:val="btLr"/>
            <w:vAlign w:val="center"/>
          </w:tcPr>
          <w:p w:rsidR="00B0242F" w:rsidRPr="0007194F" w:rsidRDefault="00B0242F" w:rsidP="00EA511F">
            <w:pPr>
              <w:spacing w:after="0" w:line="240" w:lineRule="auto"/>
              <w:ind w:left="113" w:right="113"/>
              <w:jc w:val="center"/>
              <w:rPr>
                <w:rFonts w:ascii="Times New Roman" w:hAnsi="Times New Roman" w:cs="Times New Roman"/>
                <w:b/>
                <w:bCs/>
                <w:sz w:val="24"/>
                <w:szCs w:val="24"/>
              </w:rPr>
            </w:pPr>
            <w:r>
              <w:rPr>
                <w:rFonts w:ascii="Times New Roman" w:hAnsi="Times New Roman"/>
                <w:b/>
                <w:bCs/>
                <w:sz w:val="24"/>
                <w:szCs w:val="24"/>
              </w:rPr>
              <w:t>Professional competences</w:t>
            </w:r>
          </w:p>
        </w:tc>
        <w:tc>
          <w:tcPr>
            <w:tcW w:w="9674" w:type="dxa"/>
            <w:shd w:val="clear" w:color="auto" w:fill="D9D9D9"/>
          </w:tcPr>
          <w:p w:rsidR="00A9450D" w:rsidRPr="00F24FC6" w:rsidRDefault="00A9450D"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02124"/>
                <w:sz w:val="24"/>
                <w:szCs w:val="24"/>
              </w:rPr>
            </w:pPr>
            <w:r w:rsidRPr="00F24FC6">
              <w:rPr>
                <w:rFonts w:ascii="Times New Roman" w:hAnsi="Times New Roman" w:cs="Times New Roman"/>
                <w:color w:val="202124"/>
                <w:sz w:val="24"/>
                <w:szCs w:val="24"/>
              </w:rPr>
              <w:t>Defining the notions, concepts, theories and models in the field of Stereochemistry and Supramolecular Chemistry and their appropriate use in professional communication</w:t>
            </w:r>
          </w:p>
          <w:p w:rsidR="00A9450D" w:rsidRPr="00F24FC6" w:rsidRDefault="00A9450D"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02124"/>
                <w:sz w:val="24"/>
                <w:szCs w:val="24"/>
              </w:rPr>
            </w:pPr>
            <w:r w:rsidRPr="00F24FC6">
              <w:rPr>
                <w:rFonts w:ascii="Times New Roman" w:hAnsi="Times New Roman" w:cs="Times New Roman"/>
                <w:color w:val="202124"/>
                <w:sz w:val="24"/>
                <w:szCs w:val="24"/>
              </w:rPr>
              <w:t>• Use of in-depth knowledge in the field of chemistry to explain and interpret the specific processes of Stereochemistry and Supramolecular Chemistry</w:t>
            </w:r>
          </w:p>
          <w:p w:rsidR="00A9450D" w:rsidRPr="00F24FC6" w:rsidRDefault="00A9450D"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02124"/>
                <w:sz w:val="24"/>
                <w:szCs w:val="24"/>
              </w:rPr>
            </w:pPr>
            <w:r w:rsidRPr="00F24FC6">
              <w:rPr>
                <w:rFonts w:ascii="Times New Roman" w:hAnsi="Times New Roman" w:cs="Times New Roman"/>
                <w:color w:val="202124"/>
                <w:sz w:val="24"/>
                <w:szCs w:val="24"/>
              </w:rPr>
              <w:t>• Identification and application of advanced concepts, methods and theories for solving problems specific to Stereochemistry and Supramolecular Chemistry</w:t>
            </w:r>
          </w:p>
          <w:p w:rsidR="00A9450D" w:rsidRPr="00F24FC6" w:rsidRDefault="00A9450D"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02124"/>
                <w:sz w:val="24"/>
                <w:szCs w:val="24"/>
              </w:rPr>
            </w:pPr>
            <w:r w:rsidRPr="00F24FC6">
              <w:rPr>
                <w:rFonts w:ascii="Times New Roman" w:hAnsi="Times New Roman" w:cs="Times New Roman"/>
                <w:color w:val="202124"/>
                <w:sz w:val="24"/>
                <w:szCs w:val="24"/>
              </w:rPr>
              <w:t>• Critical analysis and use of advanced methods and techniques for the quantitative and qualitative evaluation of the notions of Stereochemistry and Supramolecular Chemistry</w:t>
            </w:r>
          </w:p>
          <w:p w:rsidR="00A9450D" w:rsidRPr="00F24FC6" w:rsidRDefault="00A9450D"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02124"/>
                <w:sz w:val="24"/>
                <w:szCs w:val="24"/>
              </w:rPr>
            </w:pPr>
            <w:r w:rsidRPr="00F24FC6">
              <w:rPr>
                <w:rFonts w:ascii="Times New Roman" w:hAnsi="Times New Roman" w:cs="Times New Roman"/>
                <w:color w:val="202124"/>
                <w:sz w:val="24"/>
                <w:szCs w:val="24"/>
              </w:rPr>
              <w:t>• Application of advanced concepts and theories in the field of Stereochemistry and Supramolecular Chemistry for the elaboration of projects and problem solving</w:t>
            </w:r>
          </w:p>
          <w:p w:rsidR="00E852C0" w:rsidRPr="00A9450D" w:rsidRDefault="00A9450D"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02124"/>
                <w:sz w:val="24"/>
                <w:szCs w:val="24"/>
                <w:lang w:val="en-US"/>
              </w:rPr>
            </w:pPr>
            <w:r w:rsidRPr="00F24FC6">
              <w:rPr>
                <w:rFonts w:ascii="Times New Roman" w:hAnsi="Times New Roman" w:cs="Times New Roman"/>
                <w:color w:val="202124"/>
                <w:sz w:val="24"/>
                <w:szCs w:val="24"/>
              </w:rPr>
              <w:t>• Ability to understand and interpret complementary data for the characterization of organic compounds and processes, to express and argue the interpretation of data based on the correlation of results and comparison with data from the literature</w:t>
            </w:r>
          </w:p>
        </w:tc>
      </w:tr>
      <w:tr w:rsidR="00B0242F" w:rsidRPr="0007194F">
        <w:trPr>
          <w:cantSplit/>
          <w:trHeight w:val="1775"/>
        </w:trPr>
        <w:tc>
          <w:tcPr>
            <w:tcW w:w="1008" w:type="dxa"/>
            <w:shd w:val="clear" w:color="auto" w:fill="D9D9D9"/>
            <w:textDirection w:val="btLr"/>
          </w:tcPr>
          <w:p w:rsidR="00B0242F" w:rsidRPr="0007194F" w:rsidRDefault="00B0242F" w:rsidP="00EA511F">
            <w:pPr>
              <w:spacing w:after="0" w:line="240" w:lineRule="auto"/>
              <w:ind w:left="113" w:right="113"/>
              <w:rPr>
                <w:rFonts w:ascii="Times New Roman" w:hAnsi="Times New Roman" w:cs="Times New Roman"/>
                <w:b/>
                <w:bCs/>
                <w:sz w:val="24"/>
                <w:szCs w:val="24"/>
              </w:rPr>
            </w:pPr>
            <w:r>
              <w:rPr>
                <w:rFonts w:ascii="Times New Roman" w:hAnsi="Times New Roman"/>
                <w:b/>
                <w:bCs/>
                <w:sz w:val="24"/>
                <w:szCs w:val="24"/>
              </w:rPr>
              <w:lastRenderedPageBreak/>
              <w:t>Transversal competences</w:t>
            </w:r>
          </w:p>
        </w:tc>
        <w:tc>
          <w:tcPr>
            <w:tcW w:w="9674" w:type="dxa"/>
            <w:shd w:val="clear" w:color="auto" w:fill="D9D9D9"/>
          </w:tcPr>
          <w:p w:rsidR="000A1E58" w:rsidRPr="00A9450D" w:rsidRDefault="000A1E58"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rPr>
            </w:pPr>
            <w:r w:rsidRPr="00A9450D">
              <w:rPr>
                <w:rFonts w:ascii="Times New Roman" w:eastAsia="Times New Roman" w:hAnsi="Times New Roman" w:cs="Times New Roman"/>
                <w:color w:val="202124"/>
                <w:sz w:val="24"/>
                <w:szCs w:val="24"/>
              </w:rPr>
              <w:t>Execution of the requested tasks according to the specified requirements and within the imposed deadlines, in compliance with the norms of professional ethics and moral conduct, following a pre-established work plan</w:t>
            </w:r>
          </w:p>
          <w:p w:rsidR="000A1E58" w:rsidRPr="00A9450D" w:rsidRDefault="000A1E58"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rPr>
            </w:pPr>
            <w:r w:rsidRPr="00A9450D">
              <w:rPr>
                <w:rFonts w:ascii="Times New Roman" w:eastAsia="Times New Roman" w:hAnsi="Times New Roman" w:cs="Times New Roman"/>
                <w:color w:val="202124"/>
                <w:sz w:val="24"/>
                <w:szCs w:val="24"/>
              </w:rPr>
              <w:t>• Solving the requested tasks in accordance with the general objectives established by integration within a working group</w:t>
            </w:r>
          </w:p>
          <w:p w:rsidR="000A1E58" w:rsidRPr="00A9450D" w:rsidRDefault="000A1E58"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rPr>
            </w:pPr>
            <w:r w:rsidRPr="00A9450D">
              <w:rPr>
                <w:rFonts w:ascii="Times New Roman" w:eastAsia="Times New Roman" w:hAnsi="Times New Roman" w:cs="Times New Roman"/>
                <w:color w:val="202124"/>
                <w:sz w:val="24"/>
                <w:szCs w:val="24"/>
              </w:rPr>
              <w:t>• Permanent information and documentation in its field o</w:t>
            </w:r>
            <w:r w:rsidR="00A9450D">
              <w:rPr>
                <w:rFonts w:ascii="Times New Roman" w:eastAsia="Times New Roman" w:hAnsi="Times New Roman" w:cs="Times New Roman"/>
                <w:color w:val="202124"/>
                <w:sz w:val="24"/>
                <w:szCs w:val="24"/>
              </w:rPr>
              <w:t xml:space="preserve">f activity </w:t>
            </w:r>
          </w:p>
          <w:p w:rsidR="007221C0" w:rsidRPr="00A9450D" w:rsidRDefault="000A1E58" w:rsidP="00A945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lang w:val="en-US"/>
              </w:rPr>
            </w:pPr>
            <w:r w:rsidRPr="00A9450D">
              <w:rPr>
                <w:rFonts w:ascii="Times New Roman" w:eastAsia="Times New Roman" w:hAnsi="Times New Roman" w:cs="Times New Roman"/>
                <w:color w:val="202124"/>
                <w:sz w:val="24"/>
                <w:szCs w:val="24"/>
              </w:rPr>
              <w:t>• Ability to prepare written reports and to publicly support these reports</w:t>
            </w:r>
          </w:p>
        </w:tc>
      </w:tr>
    </w:tbl>
    <w:p w:rsidR="00B0242F" w:rsidRPr="0007194F" w:rsidRDefault="00B0242F" w:rsidP="00EA511F">
      <w:pPr>
        <w:spacing w:after="0" w:line="240" w:lineRule="auto"/>
        <w:rPr>
          <w:rFonts w:ascii="Times New Roman" w:hAnsi="Times New Roman" w:cs="Times New Roman"/>
          <w:sz w:val="24"/>
          <w:szCs w:val="24"/>
        </w:rPr>
      </w:pPr>
    </w:p>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7. Course objectives</w:t>
      </w:r>
      <w:r>
        <w:rPr>
          <w:rFonts w:ascii="Times New Roman" w:hAnsi="Times New Roman"/>
          <w:sz w:val="24"/>
          <w:szCs w:val="24"/>
        </w:rPr>
        <w:t xml:space="preserve"> (based on the acquired competencies grid)</w:t>
      </w:r>
    </w:p>
    <w:tbl>
      <w:tblPr>
        <w:tblpPr w:leftFromText="180" w:rightFromText="180" w:vertAnchor="text" w:horzAnchor="margin" w:tblpY="2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7694"/>
      </w:tblGrid>
      <w:tr w:rsidR="00DB4BF7" w:rsidRPr="0007194F" w:rsidTr="00DB4BF7">
        <w:tc>
          <w:tcPr>
            <w:tcW w:w="2988" w:type="dxa"/>
            <w:shd w:val="clear" w:color="auto" w:fill="D9D9D9"/>
          </w:tcPr>
          <w:p w:rsidR="00DB4BF7" w:rsidRPr="0007194F" w:rsidRDefault="00DB4BF7" w:rsidP="00DB4BF7">
            <w:pPr>
              <w:spacing w:after="0" w:line="240" w:lineRule="auto"/>
              <w:rPr>
                <w:rFonts w:ascii="Times New Roman" w:hAnsi="Times New Roman" w:cs="Times New Roman"/>
                <w:sz w:val="24"/>
                <w:szCs w:val="24"/>
              </w:rPr>
            </w:pPr>
            <w:r>
              <w:rPr>
                <w:rFonts w:ascii="Times New Roman" w:hAnsi="Times New Roman"/>
                <w:sz w:val="24"/>
                <w:szCs w:val="24"/>
              </w:rPr>
              <w:t>7.1 The general objective of the course</w:t>
            </w:r>
          </w:p>
        </w:tc>
        <w:tc>
          <w:tcPr>
            <w:tcW w:w="7694" w:type="dxa"/>
            <w:shd w:val="clear" w:color="auto" w:fill="D9D9D9"/>
          </w:tcPr>
          <w:p w:rsidR="00DB4BF7" w:rsidRPr="00A9450D" w:rsidRDefault="00A9450D" w:rsidP="00A9450D">
            <w:pPr>
              <w:pStyle w:val="HTMLPreformatted"/>
              <w:shd w:val="clear" w:color="auto" w:fill="F8F9FA"/>
              <w:rPr>
                <w:rFonts w:ascii="Times New Roman" w:hAnsi="Times New Roman" w:cs="Times New Roman"/>
                <w:color w:val="202124"/>
                <w:sz w:val="24"/>
                <w:szCs w:val="24"/>
              </w:rPr>
            </w:pPr>
            <w:r w:rsidRPr="00A9450D">
              <w:rPr>
                <w:rStyle w:val="y2iqfc"/>
                <w:rFonts w:ascii="Times New Roman" w:hAnsi="Times New Roman" w:cs="Times New Roman"/>
                <w:color w:val="202124"/>
                <w:sz w:val="24"/>
                <w:szCs w:val="24"/>
              </w:rPr>
              <w:t>Acquisition of notions regarding the structural characterization of materials and precursors using specific techniques</w:t>
            </w:r>
          </w:p>
        </w:tc>
      </w:tr>
      <w:tr w:rsidR="00DB4BF7" w:rsidRPr="0007194F" w:rsidTr="00DB4BF7">
        <w:tc>
          <w:tcPr>
            <w:tcW w:w="2988" w:type="dxa"/>
            <w:shd w:val="clear" w:color="auto" w:fill="D9D9D9"/>
          </w:tcPr>
          <w:p w:rsidR="00DB4BF7" w:rsidRPr="0007194F" w:rsidRDefault="00DB4BF7" w:rsidP="00DB4BF7">
            <w:pPr>
              <w:spacing w:after="0" w:line="240" w:lineRule="auto"/>
              <w:rPr>
                <w:rFonts w:ascii="Times New Roman" w:hAnsi="Times New Roman" w:cs="Times New Roman"/>
                <w:sz w:val="24"/>
                <w:szCs w:val="24"/>
              </w:rPr>
            </w:pPr>
            <w:r>
              <w:rPr>
                <w:rFonts w:ascii="Times New Roman" w:hAnsi="Times New Roman"/>
                <w:sz w:val="24"/>
                <w:szCs w:val="24"/>
              </w:rPr>
              <w:t>7.2 Specific objectives</w:t>
            </w:r>
          </w:p>
          <w:p w:rsidR="00DB4BF7" w:rsidRPr="0007194F" w:rsidRDefault="00DB4BF7" w:rsidP="00DB4BF7">
            <w:pPr>
              <w:spacing w:after="0" w:line="240" w:lineRule="auto"/>
              <w:rPr>
                <w:rFonts w:ascii="Times New Roman" w:hAnsi="Times New Roman" w:cs="Times New Roman"/>
                <w:sz w:val="24"/>
                <w:szCs w:val="24"/>
              </w:rPr>
            </w:pPr>
          </w:p>
          <w:p w:rsidR="00DB4BF7" w:rsidRPr="0007194F" w:rsidRDefault="00DB4BF7" w:rsidP="00DB4BF7">
            <w:pPr>
              <w:spacing w:after="0" w:line="240" w:lineRule="auto"/>
              <w:rPr>
                <w:rFonts w:ascii="Times New Roman" w:hAnsi="Times New Roman" w:cs="Times New Roman"/>
                <w:sz w:val="24"/>
                <w:szCs w:val="24"/>
              </w:rPr>
            </w:pPr>
          </w:p>
        </w:tc>
        <w:tc>
          <w:tcPr>
            <w:tcW w:w="7694" w:type="dxa"/>
            <w:shd w:val="clear" w:color="auto" w:fill="D9D9D9"/>
          </w:tcPr>
          <w:p w:rsidR="00A9450D" w:rsidRPr="00A9450D" w:rsidRDefault="00A9450D" w:rsidP="00A9450D">
            <w:pPr>
              <w:pStyle w:val="HTMLPreformatted"/>
              <w:shd w:val="clear" w:color="auto" w:fill="F8F9FA"/>
              <w:rPr>
                <w:rStyle w:val="y2iqfc"/>
                <w:rFonts w:ascii="Times New Roman" w:hAnsi="Times New Roman" w:cs="Times New Roman"/>
                <w:color w:val="202124"/>
                <w:sz w:val="24"/>
                <w:szCs w:val="24"/>
              </w:rPr>
            </w:pPr>
            <w:r w:rsidRPr="00A9450D">
              <w:rPr>
                <w:rStyle w:val="y2iqfc"/>
                <w:rFonts w:ascii="Times New Roman" w:hAnsi="Times New Roman" w:cs="Times New Roman"/>
                <w:color w:val="202124"/>
                <w:sz w:val="24"/>
                <w:szCs w:val="24"/>
              </w:rPr>
              <w:t>Acquisition of basic theoretical knowledge on Stereochemistry and Supramolecular Chemistry</w:t>
            </w:r>
          </w:p>
          <w:p w:rsidR="00DB4BF7" w:rsidRPr="00A9450D" w:rsidRDefault="00A9450D" w:rsidP="00A9450D">
            <w:pPr>
              <w:pStyle w:val="HTMLPreformatted"/>
              <w:shd w:val="clear" w:color="auto" w:fill="F8F9FA"/>
              <w:rPr>
                <w:rFonts w:ascii="Times New Roman" w:hAnsi="Times New Roman" w:cs="Times New Roman"/>
                <w:color w:val="202124"/>
                <w:sz w:val="24"/>
                <w:szCs w:val="24"/>
              </w:rPr>
            </w:pPr>
            <w:r w:rsidRPr="00A9450D">
              <w:rPr>
                <w:rStyle w:val="y2iqfc"/>
                <w:rFonts w:ascii="Times New Roman" w:hAnsi="Times New Roman" w:cs="Times New Roman"/>
                <w:color w:val="202124"/>
                <w:sz w:val="24"/>
                <w:szCs w:val="24"/>
              </w:rPr>
              <w:t>• Developing the ability to solve problems</w:t>
            </w:r>
          </w:p>
        </w:tc>
      </w:tr>
    </w:tbl>
    <w:p w:rsidR="00B0242F" w:rsidRPr="0007194F" w:rsidRDefault="00B0242F" w:rsidP="00EA511F">
      <w:pPr>
        <w:spacing w:after="0" w:line="240" w:lineRule="auto"/>
        <w:rPr>
          <w:rFonts w:ascii="Times New Roman" w:hAnsi="Times New Roman" w:cs="Times New Roman"/>
          <w:sz w:val="24"/>
          <w:szCs w:val="24"/>
        </w:rPr>
      </w:pP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8.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2340"/>
        <w:gridCol w:w="2834"/>
      </w:tblGrid>
      <w:tr w:rsidR="00B0242F" w:rsidRPr="00002D5B">
        <w:tc>
          <w:tcPr>
            <w:tcW w:w="5508" w:type="dxa"/>
            <w:shd w:val="clear" w:color="auto" w:fill="D9D9D9"/>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8.1 Lectures</w:t>
            </w:r>
          </w:p>
        </w:tc>
        <w:tc>
          <w:tcPr>
            <w:tcW w:w="2340" w:type="dxa"/>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Teaching methods</w:t>
            </w:r>
          </w:p>
        </w:tc>
        <w:tc>
          <w:tcPr>
            <w:tcW w:w="2834" w:type="dxa"/>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Comments</w:t>
            </w:r>
          </w:p>
        </w:tc>
      </w:tr>
      <w:tr w:rsidR="00A9450D" w:rsidRPr="00002D5B">
        <w:tc>
          <w:tcPr>
            <w:tcW w:w="5508" w:type="dxa"/>
            <w:shd w:val="clear" w:color="auto" w:fill="D9D9D9"/>
          </w:tcPr>
          <w:p w:rsidR="00A9450D" w:rsidRPr="00002D5B" w:rsidRDefault="001C5845" w:rsidP="00223D20">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8.1.1. General notions of stereochemistry</w:t>
            </w:r>
          </w:p>
        </w:tc>
        <w:tc>
          <w:tcPr>
            <w:tcW w:w="2340" w:type="dxa"/>
            <w:vMerge w:val="restart"/>
          </w:tcPr>
          <w:p w:rsidR="00A9450D" w:rsidRPr="00002D5B" w:rsidRDefault="00A9450D" w:rsidP="00DB4BF7">
            <w:pPr>
              <w:spacing w:after="0" w:line="240" w:lineRule="auto"/>
              <w:contextualSpacing/>
              <w:rPr>
                <w:rFonts w:ascii="Times New Roman" w:hAnsi="Times New Roman" w:cs="Times New Roman"/>
                <w:sz w:val="24"/>
                <w:szCs w:val="24"/>
              </w:rPr>
            </w:pPr>
            <w:r>
              <w:rPr>
                <w:rFonts w:ascii="Times" w:hAnsi="Times"/>
                <w:sz w:val="24"/>
                <w:szCs w:val="24"/>
              </w:rPr>
              <w:t>Presentation, discussion, case studies, exercises</w:t>
            </w:r>
          </w:p>
        </w:tc>
        <w:tc>
          <w:tcPr>
            <w:tcW w:w="2834" w:type="dxa"/>
            <w:vMerge w:val="restart"/>
          </w:tcPr>
          <w:p w:rsidR="00A9450D" w:rsidRPr="00002D5B" w:rsidRDefault="00A9450D" w:rsidP="00EA511F">
            <w:pPr>
              <w:spacing w:after="0" w:line="240" w:lineRule="auto"/>
              <w:contextualSpacing/>
              <w:rPr>
                <w:rFonts w:ascii="Times New Roman" w:hAnsi="Times New Roman" w:cs="Times New Roman"/>
                <w:sz w:val="24"/>
                <w:szCs w:val="24"/>
              </w:rPr>
            </w:pPr>
          </w:p>
        </w:tc>
      </w:tr>
      <w:tr w:rsidR="00A9450D" w:rsidRPr="00002D5B">
        <w:tc>
          <w:tcPr>
            <w:tcW w:w="5508" w:type="dxa"/>
            <w:shd w:val="clear" w:color="auto" w:fill="D9D9D9"/>
          </w:tcPr>
          <w:p w:rsidR="00A9450D" w:rsidRPr="00A755B1" w:rsidRDefault="001C5845" w:rsidP="00EA511F">
            <w:pPr>
              <w:spacing w:after="0" w:line="240" w:lineRule="auto"/>
              <w:contextualSpacing/>
              <w:rPr>
                <w:rFonts w:ascii="Times" w:hAnsi="Times" w:cs="Arial"/>
                <w:sz w:val="24"/>
                <w:szCs w:val="24"/>
              </w:rPr>
            </w:pPr>
            <w:r w:rsidRPr="001C5845">
              <w:rPr>
                <w:rStyle w:val="y2iqfc"/>
                <w:rFonts w:ascii="Times New Roman" w:hAnsi="Times New Roman" w:cs="Times New Roman"/>
                <w:color w:val="202124"/>
                <w:sz w:val="24"/>
                <w:szCs w:val="24"/>
              </w:rPr>
              <w:t>8.1.2. Symmetry operations, point groups of symmetry</w:t>
            </w:r>
          </w:p>
        </w:tc>
        <w:tc>
          <w:tcPr>
            <w:tcW w:w="2340" w:type="dxa"/>
            <w:vMerge/>
          </w:tcPr>
          <w:p w:rsidR="00A9450D" w:rsidRPr="00002D5B" w:rsidRDefault="00A9450D" w:rsidP="00EA511F">
            <w:pPr>
              <w:contextualSpacing/>
              <w:rPr>
                <w:rFonts w:ascii="Times New Roman" w:hAnsi="Times New Roman" w:cs="Times New Roman"/>
                <w:sz w:val="24"/>
                <w:szCs w:val="24"/>
              </w:rPr>
            </w:pPr>
          </w:p>
        </w:tc>
        <w:tc>
          <w:tcPr>
            <w:tcW w:w="2834" w:type="dxa"/>
            <w:vMerge/>
          </w:tcPr>
          <w:p w:rsidR="00A9450D" w:rsidRPr="00002D5B" w:rsidRDefault="00A9450D" w:rsidP="00EA511F">
            <w:pPr>
              <w:spacing w:after="0" w:line="240" w:lineRule="auto"/>
              <w:contextualSpacing/>
              <w:rPr>
                <w:rFonts w:ascii="Times New Roman" w:hAnsi="Times New Roman" w:cs="Times New Roman"/>
                <w:sz w:val="24"/>
                <w:szCs w:val="24"/>
              </w:rPr>
            </w:pPr>
          </w:p>
        </w:tc>
      </w:tr>
      <w:tr w:rsidR="00A9450D" w:rsidRPr="00002D5B">
        <w:tc>
          <w:tcPr>
            <w:tcW w:w="5508" w:type="dxa"/>
            <w:shd w:val="clear" w:color="auto" w:fill="D9D9D9"/>
          </w:tcPr>
          <w:p w:rsidR="00A9450D" w:rsidRPr="00002D5B" w:rsidRDefault="001C5845"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8.1.3. Enantiomerism: optical activity, configuration descriptors</w:t>
            </w:r>
          </w:p>
        </w:tc>
        <w:tc>
          <w:tcPr>
            <w:tcW w:w="2340" w:type="dxa"/>
            <w:vMerge/>
          </w:tcPr>
          <w:p w:rsidR="00A9450D" w:rsidRPr="00002D5B" w:rsidRDefault="00A9450D" w:rsidP="00EA511F">
            <w:pPr>
              <w:contextualSpacing/>
              <w:rPr>
                <w:rFonts w:ascii="Times New Roman" w:hAnsi="Times New Roman" w:cs="Times New Roman"/>
                <w:sz w:val="24"/>
                <w:szCs w:val="24"/>
              </w:rPr>
            </w:pPr>
          </w:p>
        </w:tc>
        <w:tc>
          <w:tcPr>
            <w:tcW w:w="2834" w:type="dxa"/>
            <w:vMerge/>
          </w:tcPr>
          <w:p w:rsidR="00A9450D" w:rsidRPr="00002D5B" w:rsidRDefault="00A9450D"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1C5845"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8.1.4. Chirality: central, axial, planar, he</w:t>
            </w:r>
            <w:r>
              <w:rPr>
                <w:rStyle w:val="y2iqfc"/>
                <w:rFonts w:ascii="Times New Roman" w:hAnsi="Times New Roman" w:cs="Times New Roman"/>
                <w:color w:val="202124"/>
                <w:sz w:val="24"/>
                <w:szCs w:val="24"/>
              </w:rPr>
              <w:t>lical and supramolecular. Prochiral</w:t>
            </w:r>
            <w:r w:rsidRPr="001C5845">
              <w:rPr>
                <w:rStyle w:val="y2iqfc"/>
                <w:rFonts w:ascii="Times New Roman" w:hAnsi="Times New Roman" w:cs="Times New Roman"/>
                <w:color w:val="202124"/>
                <w:sz w:val="24"/>
                <w:szCs w:val="24"/>
              </w:rPr>
              <w:t>ity</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1C5845"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8.1.5. Diastereoisomerism. Generalities. Configurational diastereoisomerism; experimental methods for determining configurations.</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CB7893"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8.1.6. Conformational analysis. Types of torsions in acyclic and cyclic compounds</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CB7893"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8.1.7. General notions related to supramolecular chemistry</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CB7893"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8.1.8. Non-covalent interactions</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CB7893"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8.1.9. General methods for the synthesis of macrocyclic compounds and mechanically interconnected compounds</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CB7893"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8.1.10. Physical and chemical properties of macrocyclic compounds and mechanically interconnected compounds</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CB7893" w:rsidP="00CB7893">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 xml:space="preserve"> 8.1.11. Supramolecular architectures obtained by self-assembly</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1C5845" w:rsidRPr="00002D5B">
        <w:tc>
          <w:tcPr>
            <w:tcW w:w="5508" w:type="dxa"/>
            <w:shd w:val="clear" w:color="auto" w:fill="D9D9D9"/>
          </w:tcPr>
          <w:p w:rsidR="001C5845" w:rsidRPr="00002D5B" w:rsidRDefault="00CB7893" w:rsidP="00A755B1">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8.1.12. . Adaptive chemistry (covalent dynamics)</w:t>
            </w:r>
          </w:p>
        </w:tc>
        <w:tc>
          <w:tcPr>
            <w:tcW w:w="2340" w:type="dxa"/>
          </w:tcPr>
          <w:p w:rsidR="001C5845" w:rsidRPr="00002D5B" w:rsidRDefault="001C5845" w:rsidP="00EA511F">
            <w:pPr>
              <w:contextualSpacing/>
              <w:rPr>
                <w:rFonts w:ascii="Times New Roman" w:hAnsi="Times New Roman" w:cs="Times New Roman"/>
                <w:sz w:val="24"/>
                <w:szCs w:val="24"/>
              </w:rPr>
            </w:pPr>
          </w:p>
        </w:tc>
        <w:tc>
          <w:tcPr>
            <w:tcW w:w="2834" w:type="dxa"/>
          </w:tcPr>
          <w:p w:rsidR="001C5845" w:rsidRPr="00002D5B" w:rsidRDefault="001C5845" w:rsidP="00EA511F">
            <w:pPr>
              <w:spacing w:after="0" w:line="240" w:lineRule="auto"/>
              <w:contextualSpacing/>
              <w:rPr>
                <w:rFonts w:ascii="Times New Roman" w:hAnsi="Times New Roman" w:cs="Times New Roman"/>
                <w:sz w:val="24"/>
                <w:szCs w:val="24"/>
              </w:rPr>
            </w:pPr>
          </w:p>
        </w:tc>
      </w:tr>
      <w:tr w:rsidR="00B0242F" w:rsidRPr="00002D5B">
        <w:tc>
          <w:tcPr>
            <w:tcW w:w="10682" w:type="dxa"/>
            <w:gridSpan w:val="3"/>
            <w:shd w:val="clear" w:color="auto" w:fill="D9D9D9"/>
          </w:tcPr>
          <w:p w:rsidR="00CB7893" w:rsidRPr="00CB7893" w:rsidRDefault="00CB7893" w:rsidP="00CB7893">
            <w:pPr>
              <w:pStyle w:val="HTMLPreformatted"/>
              <w:shd w:val="clear" w:color="auto" w:fill="F8F9FA"/>
              <w:rPr>
                <w:rStyle w:val="y2iqfc"/>
                <w:rFonts w:ascii="Times New Roman" w:hAnsi="Times New Roman" w:cs="Times New Roman"/>
                <w:color w:val="202124"/>
                <w:sz w:val="24"/>
                <w:szCs w:val="24"/>
              </w:rPr>
            </w:pPr>
            <w:r w:rsidRPr="00CB7893">
              <w:rPr>
                <w:rFonts w:ascii="Times New Roman" w:hAnsi="Times New Roman" w:cs="Times New Roman"/>
                <w:sz w:val="24"/>
                <w:szCs w:val="24"/>
                <w:highlight w:val="lightGray"/>
              </w:rPr>
              <w:t>Bibliography:</w:t>
            </w:r>
            <w:r w:rsidRPr="00CB7893">
              <w:rPr>
                <w:rFonts w:ascii="Times New Roman" w:hAnsi="Times New Roman" w:cs="Times New Roman"/>
                <w:color w:val="202124"/>
                <w:sz w:val="24"/>
                <w:szCs w:val="24"/>
                <w:highlight w:val="lightGray"/>
              </w:rPr>
              <w:t xml:space="preserve"> </w:t>
            </w:r>
          </w:p>
          <w:p w:rsidR="00CB7893" w:rsidRPr="00CB7893" w:rsidRDefault="00CB7893" w:rsidP="00CB7893">
            <w:pPr>
              <w:pStyle w:val="HTMLPreformatted"/>
              <w:shd w:val="clear" w:color="auto" w:fill="F8F9FA"/>
              <w:rPr>
                <w:rStyle w:val="y2iqfc"/>
                <w:rFonts w:ascii="Times New Roman" w:hAnsi="Times New Roman" w:cs="Times New Roman"/>
                <w:color w:val="202124"/>
                <w:sz w:val="24"/>
                <w:szCs w:val="24"/>
              </w:rPr>
            </w:pPr>
            <w:r w:rsidRPr="00CB7893">
              <w:rPr>
                <w:rStyle w:val="y2iqfc"/>
                <w:rFonts w:ascii="Times New Roman" w:hAnsi="Times New Roman" w:cs="Times New Roman"/>
                <w:color w:val="202124"/>
                <w:sz w:val="24"/>
                <w:szCs w:val="24"/>
              </w:rPr>
              <w:t>1. S. Mager, I. Grosu, L. David, Stereochemistry of Organic Compounds, Dacia Publishing House, 2006</w:t>
            </w:r>
          </w:p>
          <w:p w:rsidR="00CB7893" w:rsidRPr="00CB7893" w:rsidRDefault="00CB7893" w:rsidP="00CB7893">
            <w:pPr>
              <w:pStyle w:val="HTMLPreformatted"/>
              <w:shd w:val="clear" w:color="auto" w:fill="F8F9FA"/>
              <w:rPr>
                <w:rStyle w:val="y2iqfc"/>
                <w:rFonts w:ascii="Times New Roman" w:hAnsi="Times New Roman" w:cs="Times New Roman"/>
                <w:color w:val="202124"/>
                <w:sz w:val="24"/>
                <w:szCs w:val="24"/>
              </w:rPr>
            </w:pPr>
            <w:r w:rsidRPr="00CB7893">
              <w:rPr>
                <w:rStyle w:val="y2iqfc"/>
                <w:rFonts w:ascii="Times New Roman" w:hAnsi="Times New Roman" w:cs="Times New Roman"/>
                <w:color w:val="202124"/>
                <w:sz w:val="24"/>
                <w:szCs w:val="24"/>
              </w:rPr>
              <w:t>2. E. L. Eliel, S. Wilen, Sterochemistry of Organic Compounds, WILEY, 1994.</w:t>
            </w:r>
          </w:p>
          <w:p w:rsidR="00CB7893" w:rsidRPr="00CB7893" w:rsidRDefault="00CB7893" w:rsidP="00CB7893">
            <w:pPr>
              <w:pStyle w:val="HTMLPreformatted"/>
              <w:shd w:val="clear" w:color="auto" w:fill="F8F9FA"/>
              <w:rPr>
                <w:rStyle w:val="y2iqfc"/>
                <w:rFonts w:ascii="Times New Roman" w:hAnsi="Times New Roman" w:cs="Times New Roman"/>
                <w:color w:val="202124"/>
                <w:sz w:val="24"/>
                <w:szCs w:val="24"/>
              </w:rPr>
            </w:pPr>
            <w:r w:rsidRPr="00CB7893">
              <w:rPr>
                <w:rStyle w:val="y2iqfc"/>
                <w:rFonts w:ascii="Times New Roman" w:hAnsi="Times New Roman" w:cs="Times New Roman"/>
                <w:color w:val="202124"/>
                <w:sz w:val="24"/>
                <w:szCs w:val="24"/>
              </w:rPr>
              <w:t>3. P. Y. Bruice, Organic Chemistry, Prentice Hall, 1998.</w:t>
            </w:r>
          </w:p>
          <w:p w:rsidR="00CB7893" w:rsidRPr="00CB7893" w:rsidRDefault="00CB7893" w:rsidP="00CB7893">
            <w:pPr>
              <w:pStyle w:val="HTMLPreformatted"/>
              <w:shd w:val="clear" w:color="auto" w:fill="F8F9FA"/>
              <w:rPr>
                <w:rStyle w:val="y2iqfc"/>
                <w:rFonts w:ascii="Times New Roman" w:hAnsi="Times New Roman" w:cs="Times New Roman"/>
                <w:color w:val="202124"/>
                <w:sz w:val="24"/>
                <w:szCs w:val="24"/>
              </w:rPr>
            </w:pPr>
            <w:r w:rsidRPr="00CB7893">
              <w:rPr>
                <w:rStyle w:val="y2iqfc"/>
                <w:rFonts w:ascii="Times New Roman" w:hAnsi="Times New Roman" w:cs="Times New Roman"/>
                <w:color w:val="202124"/>
                <w:sz w:val="24"/>
                <w:szCs w:val="24"/>
              </w:rPr>
              <w:t>4. J. March, B. Smith, Advanced Organic Chemistry, Wiley, 2006.</w:t>
            </w:r>
          </w:p>
          <w:p w:rsidR="00CB7893" w:rsidRPr="00CB7893" w:rsidRDefault="00CB7893" w:rsidP="00CB7893">
            <w:pPr>
              <w:pStyle w:val="HTMLPreformatted"/>
              <w:shd w:val="clear" w:color="auto" w:fill="F8F9FA"/>
              <w:rPr>
                <w:rStyle w:val="y2iqfc"/>
                <w:rFonts w:ascii="Times New Roman" w:hAnsi="Times New Roman" w:cs="Times New Roman"/>
                <w:color w:val="202124"/>
                <w:sz w:val="24"/>
                <w:szCs w:val="24"/>
              </w:rPr>
            </w:pPr>
            <w:r w:rsidRPr="00CB7893">
              <w:rPr>
                <w:rStyle w:val="y2iqfc"/>
                <w:rFonts w:ascii="Times New Roman" w:hAnsi="Times New Roman" w:cs="Times New Roman"/>
                <w:color w:val="202124"/>
                <w:sz w:val="24"/>
                <w:szCs w:val="24"/>
              </w:rPr>
              <w:t>5. Steed J. W., Atwood J. L. Supramolecular Chemistry, Wiley, New York, (2000).</w:t>
            </w:r>
          </w:p>
          <w:p w:rsidR="00CB7893" w:rsidRPr="001C5845" w:rsidRDefault="00CB7893" w:rsidP="00CB7893">
            <w:pPr>
              <w:pStyle w:val="HTMLPreformatted"/>
              <w:shd w:val="clear" w:color="auto" w:fill="F8F9FA"/>
              <w:rPr>
                <w:rStyle w:val="y2iqfc"/>
                <w:rFonts w:ascii="Times New Roman" w:hAnsi="Times New Roman" w:cs="Times New Roman"/>
                <w:color w:val="202124"/>
                <w:sz w:val="24"/>
                <w:szCs w:val="24"/>
              </w:rPr>
            </w:pPr>
            <w:r w:rsidRPr="00CB7893">
              <w:rPr>
                <w:rStyle w:val="y2iqfc"/>
                <w:rFonts w:ascii="Times New Roman" w:hAnsi="Times New Roman" w:cs="Times New Roman"/>
                <w:color w:val="202124"/>
                <w:sz w:val="24"/>
                <w:szCs w:val="24"/>
              </w:rPr>
              <w:t>6. Vögtle, F .; Stoddart, J. F. and Shibasaki, M (editors), Stimulating Concepts in Chemistry, Wiley-VCH, Weinheim, Germany (2000).</w:t>
            </w:r>
          </w:p>
          <w:p w:rsidR="003E496D" w:rsidRPr="00F5326A" w:rsidRDefault="00CB7893" w:rsidP="00CB7893">
            <w:pPr>
              <w:spacing w:after="0" w:line="240" w:lineRule="auto"/>
              <w:jc w:val="both"/>
              <w:rPr>
                <w:rFonts w:ascii="Times" w:hAnsi="Times"/>
                <w:sz w:val="24"/>
                <w:szCs w:val="24"/>
              </w:rPr>
            </w:pPr>
            <w:r w:rsidRPr="001C5845">
              <w:rPr>
                <w:rStyle w:val="y2iqfc"/>
                <w:rFonts w:ascii="Times New Roman" w:hAnsi="Times New Roman" w:cs="Times New Roman"/>
                <w:color w:val="202124"/>
                <w:sz w:val="24"/>
                <w:szCs w:val="24"/>
              </w:rPr>
              <w:t>7 Diederich, F .; Stang, P. G. and Tykwinski, R. R. (editors), Modern Supramolecular Chemistry-Strategies for Macrocycle Synthesis, Wiley-VCH, Weinheim, Germany (2008)</w:t>
            </w:r>
          </w:p>
        </w:tc>
      </w:tr>
      <w:tr w:rsidR="00CB7893" w:rsidRPr="00002D5B">
        <w:tc>
          <w:tcPr>
            <w:tcW w:w="5508" w:type="dxa"/>
            <w:shd w:val="clear" w:color="auto" w:fill="D9D9D9"/>
          </w:tcPr>
          <w:p w:rsidR="00CB7893" w:rsidRPr="00002D5B" w:rsidRDefault="00CB7893"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8.2 Seminars / laboratory classes</w:t>
            </w:r>
          </w:p>
        </w:tc>
        <w:tc>
          <w:tcPr>
            <w:tcW w:w="2340" w:type="dxa"/>
          </w:tcPr>
          <w:p w:rsidR="00CB7893" w:rsidRPr="00002D5B" w:rsidRDefault="00CB7893"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Teaching methods</w:t>
            </w:r>
          </w:p>
        </w:tc>
        <w:tc>
          <w:tcPr>
            <w:tcW w:w="2834" w:type="dxa"/>
            <w:vMerge w:val="restart"/>
          </w:tcPr>
          <w:p w:rsidR="00CB7893" w:rsidRPr="00002D5B" w:rsidRDefault="00CB7893" w:rsidP="00EA511F">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observations</w:t>
            </w: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lastRenderedPageBreak/>
              <w:t>8.2.1. Symmetry operations, point groups of symmetry. Enantiomerism: optical activity, configuration descriptors</w:t>
            </w:r>
          </w:p>
        </w:tc>
        <w:tc>
          <w:tcPr>
            <w:tcW w:w="2340" w:type="dxa"/>
            <w:vMerge w:val="restart"/>
          </w:tcPr>
          <w:p w:rsidR="00CB7893" w:rsidRPr="00385E40" w:rsidRDefault="00CB7893" w:rsidP="00F5326A">
            <w:pPr>
              <w:spacing w:after="0" w:line="240" w:lineRule="auto"/>
              <w:contextualSpacing/>
              <w:rPr>
                <w:rFonts w:ascii="Times New Roman" w:hAnsi="Times New Roman" w:cs="Times New Roman"/>
                <w:sz w:val="24"/>
                <w:szCs w:val="24"/>
              </w:rPr>
            </w:pPr>
            <w:r>
              <w:rPr>
                <w:rFonts w:ascii="Times" w:hAnsi="Times"/>
                <w:sz w:val="24"/>
                <w:szCs w:val="24"/>
              </w:rPr>
              <w:t>Presentation, discussion, exercises</w:t>
            </w: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8.2.2-3. Chirality: central, axial, planar, he</w:t>
            </w:r>
            <w:r>
              <w:rPr>
                <w:rStyle w:val="y2iqfc"/>
                <w:rFonts w:ascii="Times New Roman" w:hAnsi="Times New Roman" w:cs="Times New Roman"/>
                <w:color w:val="202124"/>
                <w:sz w:val="24"/>
                <w:szCs w:val="24"/>
              </w:rPr>
              <w:t>lical and supramolecular. Proch</w:t>
            </w:r>
            <w:r w:rsidRPr="001C5845">
              <w:rPr>
                <w:rStyle w:val="y2iqfc"/>
                <w:rFonts w:ascii="Times New Roman" w:hAnsi="Times New Roman" w:cs="Times New Roman"/>
                <w:color w:val="202124"/>
                <w:sz w:val="24"/>
                <w:szCs w:val="24"/>
              </w:rPr>
              <w:t>i</w:t>
            </w:r>
            <w:r>
              <w:rPr>
                <w:rStyle w:val="y2iqfc"/>
                <w:rFonts w:ascii="Times New Roman" w:hAnsi="Times New Roman" w:cs="Times New Roman"/>
                <w:color w:val="202124"/>
                <w:sz w:val="24"/>
                <w:szCs w:val="24"/>
              </w:rPr>
              <w:t>rali</w:t>
            </w:r>
            <w:r w:rsidRPr="001C5845">
              <w:rPr>
                <w:rStyle w:val="y2iqfc"/>
                <w:rFonts w:ascii="Times New Roman" w:hAnsi="Times New Roman" w:cs="Times New Roman"/>
                <w:color w:val="202124"/>
                <w:sz w:val="24"/>
                <w:szCs w:val="24"/>
              </w:rPr>
              <w:t>ty</w:t>
            </w:r>
          </w:p>
        </w:tc>
        <w:tc>
          <w:tcPr>
            <w:tcW w:w="2340" w:type="dxa"/>
            <w:vMerge/>
          </w:tcPr>
          <w:p w:rsidR="00CB7893" w:rsidRDefault="00CB7893" w:rsidP="00F5326A">
            <w:pPr>
              <w:spacing w:after="0" w:line="240" w:lineRule="auto"/>
              <w:contextualSpacing/>
              <w:rPr>
                <w:rFonts w:ascii="Times" w:hAnsi="Times"/>
                <w:sz w:val="24"/>
                <w:szCs w:val="24"/>
              </w:rPr>
            </w:pP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8.2.4. Applications of NMR in conformational analysis of acyclic compounds, cycloalkanes, and heterocyclic compounds</w:t>
            </w:r>
          </w:p>
        </w:tc>
        <w:tc>
          <w:tcPr>
            <w:tcW w:w="2340" w:type="dxa"/>
            <w:vMerge/>
          </w:tcPr>
          <w:p w:rsidR="00CB7893" w:rsidRDefault="00CB7893" w:rsidP="00F5326A">
            <w:pPr>
              <w:spacing w:after="0" w:line="240" w:lineRule="auto"/>
              <w:contextualSpacing/>
              <w:rPr>
                <w:rFonts w:ascii="Times" w:hAnsi="Times"/>
                <w:sz w:val="24"/>
                <w:szCs w:val="24"/>
              </w:rPr>
            </w:pP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8.2.5-6. Geometric diastereoisomerism; determination of the stereochemistry of some compounds with geometric isomerism or which have several elements of chirality</w:t>
            </w:r>
          </w:p>
        </w:tc>
        <w:tc>
          <w:tcPr>
            <w:tcW w:w="2340" w:type="dxa"/>
            <w:vMerge/>
          </w:tcPr>
          <w:p w:rsidR="00CB7893" w:rsidRDefault="00CB7893" w:rsidP="00F5326A">
            <w:pPr>
              <w:spacing w:after="0" w:line="240" w:lineRule="auto"/>
              <w:contextualSpacing/>
              <w:rPr>
                <w:rFonts w:ascii="Times" w:hAnsi="Times"/>
                <w:sz w:val="24"/>
                <w:szCs w:val="24"/>
              </w:rPr>
            </w:pP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8.2.7-8 Problems related to macrocyclic compounds, cryptans and cyclophanes</w:t>
            </w:r>
          </w:p>
        </w:tc>
        <w:tc>
          <w:tcPr>
            <w:tcW w:w="2340" w:type="dxa"/>
            <w:vMerge/>
          </w:tcPr>
          <w:p w:rsidR="00CB7893" w:rsidRDefault="00CB7893" w:rsidP="00F5326A">
            <w:pPr>
              <w:spacing w:after="0" w:line="240" w:lineRule="auto"/>
              <w:contextualSpacing/>
              <w:rPr>
                <w:rFonts w:ascii="Times" w:hAnsi="Times"/>
                <w:sz w:val="24"/>
                <w:szCs w:val="24"/>
              </w:rPr>
            </w:pP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8.2.9-10 Problems related to host-guest supramolecular systems</w:t>
            </w:r>
          </w:p>
        </w:tc>
        <w:tc>
          <w:tcPr>
            <w:tcW w:w="2340" w:type="dxa"/>
            <w:vMerge/>
          </w:tcPr>
          <w:p w:rsidR="00CB7893" w:rsidRDefault="00CB7893" w:rsidP="00F5326A">
            <w:pPr>
              <w:spacing w:after="0" w:line="240" w:lineRule="auto"/>
              <w:contextualSpacing/>
              <w:rPr>
                <w:rFonts w:ascii="Times" w:hAnsi="Times"/>
                <w:sz w:val="24"/>
                <w:szCs w:val="24"/>
              </w:rPr>
            </w:pP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sidRPr="001C5845">
              <w:rPr>
                <w:rStyle w:val="y2iqfc"/>
                <w:rFonts w:ascii="Times New Roman" w:hAnsi="Times New Roman" w:cs="Times New Roman"/>
                <w:color w:val="202124"/>
                <w:sz w:val="24"/>
                <w:szCs w:val="24"/>
              </w:rPr>
              <w:t>8.2.11-12 Problems related to self-assembled supramolecular architectures</w:t>
            </w:r>
          </w:p>
        </w:tc>
        <w:tc>
          <w:tcPr>
            <w:tcW w:w="2340" w:type="dxa"/>
            <w:vMerge/>
          </w:tcPr>
          <w:p w:rsidR="00CB7893" w:rsidRDefault="00CB7893" w:rsidP="00F5326A">
            <w:pPr>
              <w:spacing w:after="0" w:line="240" w:lineRule="auto"/>
              <w:contextualSpacing/>
              <w:rPr>
                <w:rFonts w:ascii="Times" w:hAnsi="Times"/>
                <w:sz w:val="24"/>
                <w:szCs w:val="24"/>
              </w:rPr>
            </w:pP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CB7893" w:rsidRPr="00002D5B">
        <w:tc>
          <w:tcPr>
            <w:tcW w:w="5508" w:type="dxa"/>
            <w:shd w:val="clear" w:color="auto" w:fill="D9D9D9"/>
          </w:tcPr>
          <w:p w:rsidR="00CB7893" w:rsidRPr="00385E40" w:rsidRDefault="00CB7893" w:rsidP="00EA511F">
            <w:pPr>
              <w:spacing w:after="0" w:line="240" w:lineRule="auto"/>
              <w:contextualSpacing/>
              <w:rPr>
                <w:rFonts w:ascii="Times New Roman" w:hAnsi="Times New Roman" w:cs="Times New Roman"/>
                <w:sz w:val="24"/>
                <w:szCs w:val="24"/>
              </w:rPr>
            </w:pPr>
            <w:r>
              <w:rPr>
                <w:rFonts w:ascii="Times New Roman" w:hAnsi="Times New Roman"/>
                <w:b/>
                <w:sz w:val="24"/>
                <w:szCs w:val="24"/>
              </w:rPr>
              <w:t>Last issues of</w:t>
            </w:r>
            <w:r w:rsidRPr="006E04F9">
              <w:rPr>
                <w:rFonts w:ascii="Times New Roman" w:hAnsi="Times New Roman"/>
                <w:b/>
                <w:sz w:val="24"/>
                <w:szCs w:val="24"/>
              </w:rPr>
              <w:t xml:space="preserve"> Angew. Chem. Int.</w:t>
            </w:r>
            <w:r>
              <w:rPr>
                <w:rFonts w:ascii="Times New Roman" w:hAnsi="Times New Roman"/>
                <w:b/>
                <w:sz w:val="24"/>
                <w:szCs w:val="24"/>
              </w:rPr>
              <w:t xml:space="preserve"> Ed.; Chem. Eur. J.; Eur. J. O</w:t>
            </w:r>
            <w:r w:rsidRPr="006E04F9">
              <w:rPr>
                <w:rFonts w:ascii="Times New Roman" w:hAnsi="Times New Roman"/>
                <w:b/>
                <w:sz w:val="24"/>
                <w:szCs w:val="24"/>
              </w:rPr>
              <w:t>rg. Chem; Chem. Commun.; Chem. Sci.; Dalton Trans.; Org. Lett.</w:t>
            </w:r>
            <w:r w:rsidRPr="00897F9B">
              <w:rPr>
                <w:rFonts w:ascii="Times New Roman" w:hAnsi="Times New Roman"/>
                <w:b/>
                <w:sz w:val="24"/>
                <w:szCs w:val="24"/>
              </w:rPr>
              <w:t>; Organometallics; Inorg. Chem.</w:t>
            </w:r>
            <w:r>
              <w:rPr>
                <w:rFonts w:ascii="Times New Roman" w:hAnsi="Times New Roman"/>
                <w:b/>
                <w:sz w:val="24"/>
                <w:szCs w:val="24"/>
              </w:rPr>
              <w:t xml:space="preserve"> and</w:t>
            </w:r>
            <w:r w:rsidRPr="006E04F9">
              <w:rPr>
                <w:rFonts w:ascii="Times New Roman" w:hAnsi="Times New Roman"/>
                <w:b/>
                <w:sz w:val="24"/>
                <w:szCs w:val="24"/>
              </w:rPr>
              <w:t xml:space="preserve"> J. Org. Chem</w:t>
            </w:r>
          </w:p>
        </w:tc>
        <w:tc>
          <w:tcPr>
            <w:tcW w:w="2340" w:type="dxa"/>
            <w:vMerge/>
          </w:tcPr>
          <w:p w:rsidR="00CB7893" w:rsidRDefault="00CB7893" w:rsidP="00F5326A">
            <w:pPr>
              <w:spacing w:after="0" w:line="240" w:lineRule="auto"/>
              <w:contextualSpacing/>
              <w:rPr>
                <w:rFonts w:ascii="Times" w:hAnsi="Times"/>
                <w:sz w:val="24"/>
                <w:szCs w:val="24"/>
              </w:rPr>
            </w:pPr>
          </w:p>
        </w:tc>
        <w:tc>
          <w:tcPr>
            <w:tcW w:w="2834" w:type="dxa"/>
            <w:vMerge/>
          </w:tcPr>
          <w:p w:rsidR="00CB7893" w:rsidRPr="00385E40" w:rsidRDefault="00CB7893" w:rsidP="00EA511F">
            <w:pPr>
              <w:spacing w:after="0" w:line="240" w:lineRule="auto"/>
              <w:contextualSpacing/>
              <w:rPr>
                <w:rFonts w:ascii="Times New Roman" w:hAnsi="Times New Roman" w:cs="Times New Roman"/>
                <w:sz w:val="24"/>
                <w:szCs w:val="24"/>
              </w:rPr>
            </w:pPr>
          </w:p>
        </w:tc>
      </w:tr>
      <w:tr w:rsidR="00FB38E8" w:rsidRPr="00002D5B">
        <w:tc>
          <w:tcPr>
            <w:tcW w:w="10682" w:type="dxa"/>
            <w:gridSpan w:val="3"/>
            <w:shd w:val="clear" w:color="auto" w:fill="D9D9D9"/>
          </w:tcPr>
          <w:p w:rsidR="00D610D1" w:rsidRPr="00385E40" w:rsidRDefault="00D610D1" w:rsidP="00CB7893">
            <w:pPr>
              <w:tabs>
                <w:tab w:val="left" w:pos="2715"/>
              </w:tabs>
              <w:spacing w:after="0" w:line="240" w:lineRule="auto"/>
              <w:contextualSpacing/>
              <w:rPr>
                <w:rFonts w:ascii="Times New Roman" w:hAnsi="Times New Roman" w:cs="Times New Roman"/>
                <w:sz w:val="24"/>
                <w:szCs w:val="24"/>
              </w:rPr>
            </w:pPr>
          </w:p>
        </w:tc>
      </w:tr>
    </w:tbl>
    <w:p w:rsidR="00B0242F" w:rsidRPr="0007194F" w:rsidRDefault="00B0242F" w:rsidP="00EA511F">
      <w:pPr>
        <w:spacing w:after="0" w:line="240" w:lineRule="auto"/>
        <w:rPr>
          <w:rFonts w:ascii="Times New Roman" w:hAnsi="Times New Roman" w:cs="Times New Roman"/>
          <w:sz w:val="24"/>
          <w:szCs w:val="24"/>
        </w:rPr>
      </w:pP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9. Aligning the contents of the discipline with the expectations of the epistemic community representatives, professional associations and standard employers operating in the program field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82"/>
      </w:tblGrid>
      <w:tr w:rsidR="00B0242F" w:rsidRPr="0007194F">
        <w:tc>
          <w:tcPr>
            <w:tcW w:w="10682" w:type="dxa"/>
          </w:tcPr>
          <w:p w:rsidR="00B0242F" w:rsidRPr="00D11956" w:rsidRDefault="00D11956" w:rsidP="00D11956">
            <w:pPr>
              <w:pStyle w:val="HTMLPreformatted"/>
              <w:shd w:val="clear" w:color="auto" w:fill="F8F9FA"/>
              <w:rPr>
                <w:rFonts w:ascii="Times New Roman" w:hAnsi="Times New Roman" w:cs="Times New Roman"/>
                <w:color w:val="202124"/>
                <w:sz w:val="24"/>
                <w:szCs w:val="24"/>
              </w:rPr>
            </w:pPr>
            <w:r w:rsidRPr="00D11956">
              <w:rPr>
                <w:rStyle w:val="y2iqfc"/>
                <w:rFonts w:ascii="Times New Roman" w:hAnsi="Times New Roman" w:cs="Times New Roman"/>
                <w:color w:val="202124"/>
                <w:sz w:val="24"/>
                <w:szCs w:val="24"/>
              </w:rPr>
              <w:t>By acquiring the theoretical-methodological concepts and approaching the practical aspects included in the discipline Stereochemistry and supramolecular chemistry, doctoral students acquire a consistent knowledge, in accordance with the partial competencies required for possible occupations provided in Grid 1 - RNCIS</w:t>
            </w:r>
          </w:p>
        </w:tc>
      </w:tr>
    </w:tbl>
    <w:p w:rsidR="00B0242F" w:rsidRDefault="00B0242F" w:rsidP="00EA511F">
      <w:pPr>
        <w:spacing w:after="0" w:line="240" w:lineRule="auto"/>
        <w:rPr>
          <w:rFonts w:ascii="Times New Roman" w:hAnsi="Times New Roman" w:cs="Times New Roman"/>
          <w:sz w:val="24"/>
          <w:szCs w:val="24"/>
        </w:rPr>
      </w:pPr>
    </w:p>
    <w:p w:rsidR="006977ED" w:rsidRPr="0007194F" w:rsidRDefault="006977ED" w:rsidP="006977ED">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10. Examination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70"/>
        <w:gridCol w:w="2828"/>
        <w:gridCol w:w="3257"/>
        <w:gridCol w:w="1927"/>
      </w:tblGrid>
      <w:tr w:rsidR="006977ED" w:rsidRPr="0007194F" w:rsidTr="000047E5">
        <w:tc>
          <w:tcPr>
            <w:tcW w:w="2670" w:type="dxa"/>
          </w:tcPr>
          <w:p w:rsidR="006977ED" w:rsidRPr="0007194F" w:rsidRDefault="006977ED" w:rsidP="000047E5">
            <w:pPr>
              <w:spacing w:after="0" w:line="240" w:lineRule="auto"/>
              <w:rPr>
                <w:rFonts w:ascii="Times New Roman" w:hAnsi="Times New Roman" w:cs="Times New Roman"/>
                <w:sz w:val="24"/>
                <w:szCs w:val="24"/>
              </w:rPr>
            </w:pPr>
            <w:r>
              <w:rPr>
                <w:rFonts w:ascii="Times New Roman" w:hAnsi="Times New Roman"/>
                <w:sz w:val="24"/>
                <w:szCs w:val="24"/>
              </w:rPr>
              <w:t>Activity type</w:t>
            </w:r>
          </w:p>
        </w:tc>
        <w:tc>
          <w:tcPr>
            <w:tcW w:w="2828" w:type="dxa"/>
            <w:shd w:val="clear" w:color="auto" w:fill="D9D9D9"/>
          </w:tcPr>
          <w:p w:rsidR="006977ED" w:rsidRPr="0007194F" w:rsidRDefault="006977ED" w:rsidP="000047E5">
            <w:pPr>
              <w:spacing w:after="0" w:line="240" w:lineRule="auto"/>
              <w:ind w:left="46" w:right="-154"/>
              <w:rPr>
                <w:rFonts w:ascii="Times New Roman" w:hAnsi="Times New Roman" w:cs="Times New Roman"/>
                <w:sz w:val="24"/>
                <w:szCs w:val="24"/>
              </w:rPr>
            </w:pPr>
            <w:r>
              <w:rPr>
                <w:rFonts w:ascii="Times New Roman" w:hAnsi="Times New Roman"/>
                <w:sz w:val="24"/>
                <w:szCs w:val="24"/>
              </w:rPr>
              <w:t>10.1 Evaluation criteria</w:t>
            </w:r>
          </w:p>
        </w:tc>
        <w:tc>
          <w:tcPr>
            <w:tcW w:w="3257" w:type="dxa"/>
          </w:tcPr>
          <w:p w:rsidR="006977ED" w:rsidRPr="0007194F" w:rsidRDefault="006977ED" w:rsidP="000047E5">
            <w:pPr>
              <w:spacing w:after="0" w:line="240" w:lineRule="auto"/>
              <w:rPr>
                <w:rFonts w:ascii="Times New Roman" w:hAnsi="Times New Roman" w:cs="Times New Roman"/>
                <w:sz w:val="24"/>
                <w:szCs w:val="24"/>
              </w:rPr>
            </w:pPr>
            <w:r>
              <w:rPr>
                <w:rFonts w:ascii="Times New Roman" w:hAnsi="Times New Roman"/>
                <w:sz w:val="24"/>
                <w:szCs w:val="24"/>
              </w:rPr>
              <w:t>10.2 Evaluation methods</w:t>
            </w:r>
          </w:p>
        </w:tc>
        <w:tc>
          <w:tcPr>
            <w:tcW w:w="1927" w:type="dxa"/>
          </w:tcPr>
          <w:p w:rsidR="006977ED" w:rsidRPr="0007194F" w:rsidRDefault="006977ED" w:rsidP="000047E5">
            <w:pPr>
              <w:spacing w:after="0" w:line="240" w:lineRule="auto"/>
              <w:rPr>
                <w:rFonts w:ascii="Times New Roman" w:hAnsi="Times New Roman" w:cs="Times New Roman"/>
                <w:sz w:val="24"/>
                <w:szCs w:val="24"/>
              </w:rPr>
            </w:pPr>
          </w:p>
        </w:tc>
      </w:tr>
      <w:tr w:rsidR="006977ED" w:rsidRPr="0007194F" w:rsidTr="000047E5">
        <w:trPr>
          <w:trHeight w:val="135"/>
        </w:trPr>
        <w:tc>
          <w:tcPr>
            <w:tcW w:w="2670" w:type="dxa"/>
            <w:vMerge w:val="restart"/>
          </w:tcPr>
          <w:p w:rsidR="006977ED" w:rsidRPr="0007194F" w:rsidRDefault="006977ED" w:rsidP="000047E5">
            <w:pPr>
              <w:spacing w:after="0" w:line="240" w:lineRule="auto"/>
              <w:rPr>
                <w:rFonts w:ascii="Times New Roman" w:hAnsi="Times New Roman" w:cs="Times New Roman"/>
                <w:sz w:val="24"/>
                <w:szCs w:val="24"/>
              </w:rPr>
            </w:pPr>
            <w:r>
              <w:rPr>
                <w:rFonts w:ascii="Times New Roman" w:hAnsi="Times New Roman"/>
                <w:sz w:val="24"/>
                <w:szCs w:val="24"/>
              </w:rPr>
              <w:t>Lectures and seminar</w:t>
            </w:r>
            <w:r w:rsidR="009F1C54">
              <w:rPr>
                <w:rFonts w:ascii="Times New Roman" w:hAnsi="Times New Roman"/>
                <w:sz w:val="24"/>
                <w:szCs w:val="24"/>
              </w:rPr>
              <w:t>s</w:t>
            </w:r>
          </w:p>
        </w:tc>
        <w:tc>
          <w:tcPr>
            <w:tcW w:w="2828" w:type="dxa"/>
            <w:shd w:val="clear" w:color="auto" w:fill="D9D9D9"/>
          </w:tcPr>
          <w:p w:rsidR="006977ED" w:rsidRPr="00D64248" w:rsidRDefault="006977ED" w:rsidP="000047E5">
            <w:pPr>
              <w:spacing w:after="0" w:line="240" w:lineRule="auto"/>
              <w:rPr>
                <w:rFonts w:ascii="Times" w:hAnsi="Times" w:cs="Times New Roman"/>
                <w:sz w:val="24"/>
                <w:szCs w:val="24"/>
              </w:rPr>
            </w:pPr>
            <w:r>
              <w:rPr>
                <w:rFonts w:ascii="Times" w:hAnsi="Times"/>
                <w:sz w:val="24"/>
                <w:szCs w:val="24"/>
              </w:rPr>
              <w:t>Assessment of knowledge</w:t>
            </w:r>
          </w:p>
        </w:tc>
        <w:tc>
          <w:tcPr>
            <w:tcW w:w="3257" w:type="dxa"/>
          </w:tcPr>
          <w:p w:rsidR="006977ED" w:rsidRPr="00D64248" w:rsidRDefault="006977ED" w:rsidP="000047E5">
            <w:pPr>
              <w:spacing w:after="0" w:line="240" w:lineRule="auto"/>
              <w:rPr>
                <w:rFonts w:ascii="Times" w:hAnsi="Times" w:cs="Times New Roman"/>
                <w:sz w:val="24"/>
                <w:szCs w:val="24"/>
              </w:rPr>
            </w:pPr>
            <w:r>
              <w:rPr>
                <w:rFonts w:ascii="Times" w:hAnsi="Times"/>
                <w:sz w:val="24"/>
                <w:szCs w:val="24"/>
              </w:rPr>
              <w:t>Oral presentation of a topic</w:t>
            </w:r>
          </w:p>
        </w:tc>
        <w:tc>
          <w:tcPr>
            <w:tcW w:w="1927" w:type="dxa"/>
          </w:tcPr>
          <w:p w:rsidR="006977ED" w:rsidRPr="00D64248" w:rsidRDefault="006977ED" w:rsidP="000047E5">
            <w:pPr>
              <w:spacing w:after="0" w:line="240" w:lineRule="auto"/>
              <w:rPr>
                <w:rFonts w:ascii="Times" w:hAnsi="Times" w:cs="Times New Roman"/>
                <w:sz w:val="24"/>
                <w:szCs w:val="24"/>
              </w:rPr>
            </w:pPr>
          </w:p>
        </w:tc>
      </w:tr>
      <w:tr w:rsidR="006977ED" w:rsidRPr="0007194F" w:rsidTr="000047E5">
        <w:trPr>
          <w:trHeight w:val="135"/>
        </w:trPr>
        <w:tc>
          <w:tcPr>
            <w:tcW w:w="2670" w:type="dxa"/>
            <w:vMerge/>
          </w:tcPr>
          <w:p w:rsidR="006977ED" w:rsidRPr="0007194F" w:rsidRDefault="006977ED" w:rsidP="000047E5">
            <w:pPr>
              <w:spacing w:after="0" w:line="240" w:lineRule="auto"/>
              <w:rPr>
                <w:rFonts w:ascii="Times New Roman" w:hAnsi="Times New Roman" w:cs="Times New Roman"/>
                <w:sz w:val="24"/>
                <w:szCs w:val="24"/>
              </w:rPr>
            </w:pPr>
          </w:p>
        </w:tc>
        <w:tc>
          <w:tcPr>
            <w:tcW w:w="2828" w:type="dxa"/>
            <w:shd w:val="clear" w:color="auto" w:fill="D9D9D9"/>
          </w:tcPr>
          <w:p w:rsidR="006977ED" w:rsidRPr="00D64248" w:rsidRDefault="006977ED" w:rsidP="000047E5">
            <w:pPr>
              <w:spacing w:after="0" w:line="240" w:lineRule="auto"/>
              <w:rPr>
                <w:rFonts w:ascii="Times" w:hAnsi="Times" w:cs="Times New Roman"/>
                <w:sz w:val="24"/>
                <w:szCs w:val="24"/>
              </w:rPr>
            </w:pPr>
          </w:p>
        </w:tc>
        <w:tc>
          <w:tcPr>
            <w:tcW w:w="3257" w:type="dxa"/>
          </w:tcPr>
          <w:p w:rsidR="006977ED" w:rsidRPr="00D64248" w:rsidRDefault="006977ED" w:rsidP="000047E5">
            <w:pPr>
              <w:spacing w:after="0" w:line="240" w:lineRule="auto"/>
              <w:rPr>
                <w:rFonts w:ascii="Times" w:hAnsi="Times" w:cs="Times New Roman"/>
                <w:sz w:val="24"/>
                <w:szCs w:val="24"/>
              </w:rPr>
            </w:pPr>
          </w:p>
        </w:tc>
        <w:tc>
          <w:tcPr>
            <w:tcW w:w="1927" w:type="dxa"/>
          </w:tcPr>
          <w:p w:rsidR="006977ED" w:rsidRPr="00D64248" w:rsidRDefault="006977ED" w:rsidP="000047E5">
            <w:pPr>
              <w:spacing w:after="0" w:line="240" w:lineRule="auto"/>
              <w:rPr>
                <w:rFonts w:ascii="Times" w:hAnsi="Times" w:cs="Times New Roman"/>
                <w:sz w:val="24"/>
                <w:szCs w:val="24"/>
              </w:rPr>
            </w:pPr>
          </w:p>
        </w:tc>
      </w:tr>
    </w:tbl>
    <w:p w:rsidR="006977ED" w:rsidRPr="0007194F" w:rsidRDefault="006977ED" w:rsidP="006977ED">
      <w:pPr>
        <w:spacing w:after="0" w:line="240" w:lineRule="auto"/>
        <w:rPr>
          <w:rFonts w:ascii="Times New Roman" w:hAnsi="Times New Roman" w:cs="Times New Roman"/>
          <w:sz w:val="24"/>
          <w:szCs w:val="24"/>
        </w:rPr>
      </w:pPr>
    </w:p>
    <w:p w:rsidR="00B0242F" w:rsidRPr="0007194F" w:rsidRDefault="00B0242F" w:rsidP="007A19DD">
      <w:pPr>
        <w:spacing w:after="0" w:line="240" w:lineRule="auto"/>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2"/>
        <w:gridCol w:w="4252"/>
        <w:gridCol w:w="3652"/>
      </w:tblGrid>
      <w:tr w:rsidR="009477C2" w:rsidTr="00414286">
        <w:tc>
          <w:tcPr>
            <w:tcW w:w="2552" w:type="dxa"/>
          </w:tcPr>
          <w:p w:rsidR="009477C2" w:rsidRDefault="009477C2" w:rsidP="00414286">
            <w:pPr>
              <w:spacing w:after="0" w:line="240" w:lineRule="auto"/>
              <w:jc w:val="center"/>
              <w:rPr>
                <w:rFonts w:ascii="Times New Roman" w:hAnsi="Times New Roman"/>
                <w:sz w:val="24"/>
                <w:szCs w:val="24"/>
              </w:rPr>
            </w:pPr>
            <w:r>
              <w:rPr>
                <w:rFonts w:ascii="Times New Roman" w:hAnsi="Times New Roman"/>
                <w:sz w:val="24"/>
                <w:szCs w:val="24"/>
              </w:rPr>
              <w:t>Date</w:t>
            </w:r>
            <w:r w:rsidR="00414286">
              <w:rPr>
                <w:rFonts w:ascii="Times New Roman" w:hAnsi="Times New Roman"/>
                <w:sz w:val="24"/>
                <w:szCs w:val="24"/>
              </w:rPr>
              <w:t xml:space="preserve"> of issue</w:t>
            </w:r>
          </w:p>
        </w:tc>
        <w:tc>
          <w:tcPr>
            <w:tcW w:w="4252" w:type="dxa"/>
          </w:tcPr>
          <w:p w:rsidR="009477C2" w:rsidRDefault="009477C2" w:rsidP="007A19DD">
            <w:pPr>
              <w:spacing w:after="0" w:line="240" w:lineRule="auto"/>
              <w:jc w:val="center"/>
              <w:rPr>
                <w:rFonts w:ascii="Times New Roman" w:hAnsi="Times New Roman"/>
                <w:sz w:val="24"/>
                <w:szCs w:val="24"/>
              </w:rPr>
            </w:pPr>
            <w:r>
              <w:rPr>
                <w:rFonts w:ascii="Times New Roman" w:hAnsi="Times New Roman"/>
                <w:sz w:val="24"/>
                <w:szCs w:val="24"/>
              </w:rPr>
              <w:t>Signature of the teacher</w:t>
            </w:r>
            <w:r>
              <w:rPr>
                <w:rFonts w:ascii="Times New Roman" w:hAnsi="Times New Roman"/>
                <w:sz w:val="24"/>
                <w:szCs w:val="24"/>
              </w:rPr>
              <w:br/>
              <w:t>responsible for lectures</w:t>
            </w:r>
          </w:p>
        </w:tc>
        <w:tc>
          <w:tcPr>
            <w:tcW w:w="3652" w:type="dxa"/>
          </w:tcPr>
          <w:p w:rsidR="009477C2" w:rsidRDefault="009477C2" w:rsidP="007A19DD">
            <w:pPr>
              <w:spacing w:after="0" w:line="240" w:lineRule="auto"/>
              <w:jc w:val="center"/>
              <w:rPr>
                <w:rFonts w:ascii="Times New Roman" w:hAnsi="Times New Roman"/>
                <w:sz w:val="24"/>
                <w:szCs w:val="24"/>
              </w:rPr>
            </w:pPr>
            <w:r>
              <w:rPr>
                <w:rFonts w:ascii="Times New Roman" w:hAnsi="Times New Roman"/>
                <w:sz w:val="24"/>
                <w:szCs w:val="24"/>
              </w:rPr>
              <w:t>Signature of the teacher responsible for seminars</w:t>
            </w:r>
          </w:p>
        </w:tc>
      </w:tr>
    </w:tbl>
    <w:p w:rsidR="009477C2" w:rsidRDefault="009F1C54" w:rsidP="00EA511F">
      <w:pPr>
        <w:spacing w:after="0" w:line="240" w:lineRule="auto"/>
        <w:ind w:firstLine="708"/>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61312" behindDoc="1" locked="0" layoutInCell="1" allowOverlap="1">
            <wp:simplePos x="0" y="0"/>
            <wp:positionH relativeFrom="column">
              <wp:posOffset>4762500</wp:posOffset>
            </wp:positionH>
            <wp:positionV relativeFrom="paragraph">
              <wp:posOffset>125730</wp:posOffset>
            </wp:positionV>
            <wp:extent cx="1266825" cy="600075"/>
            <wp:effectExtent l="19050" t="0" r="9525" b="0"/>
            <wp:wrapTight wrapText="bothSides">
              <wp:wrapPolygon edited="0">
                <wp:start x="-325" y="0"/>
                <wp:lineTo x="-325" y="21257"/>
                <wp:lineTo x="21762" y="21257"/>
                <wp:lineTo x="21762" y="0"/>
                <wp:lineTo x="-325" y="0"/>
              </wp:wrapPolygon>
            </wp:wrapTight>
            <wp:docPr id="4" name="Picture 3" desc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
                    <pic:cNvPicPr>
                      <a:picLocks noChangeAspect="1" noChangeArrowheads="1"/>
                    </pic:cNvPicPr>
                  </pic:nvPicPr>
                  <pic:blipFill>
                    <a:blip r:embed="rId8"/>
                    <a:srcRect l="22018" t="16513" r="15138" b="24771"/>
                    <a:stretch>
                      <a:fillRect/>
                    </a:stretch>
                  </pic:blipFill>
                  <pic:spPr bwMode="auto">
                    <a:xfrm>
                      <a:off x="0" y="0"/>
                      <a:ext cx="1266825" cy="600075"/>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125730</wp:posOffset>
            </wp:positionV>
            <wp:extent cx="1266825" cy="600075"/>
            <wp:effectExtent l="19050" t="0" r="9525" b="0"/>
            <wp:wrapTight wrapText="bothSides">
              <wp:wrapPolygon edited="0">
                <wp:start x="-325" y="0"/>
                <wp:lineTo x="-325" y="21257"/>
                <wp:lineTo x="21762" y="21257"/>
                <wp:lineTo x="21762" y="0"/>
                <wp:lineTo x="-325" y="0"/>
              </wp:wrapPolygon>
            </wp:wrapTight>
            <wp:docPr id="3" name="Picture 3" desc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
                    <pic:cNvPicPr>
                      <a:picLocks noChangeAspect="1" noChangeArrowheads="1"/>
                    </pic:cNvPicPr>
                  </pic:nvPicPr>
                  <pic:blipFill>
                    <a:blip r:embed="rId8"/>
                    <a:srcRect l="22018" t="16513" r="15138" b="24771"/>
                    <a:stretch>
                      <a:fillRect/>
                    </a:stretch>
                  </pic:blipFill>
                  <pic:spPr bwMode="auto">
                    <a:xfrm>
                      <a:off x="0" y="0"/>
                      <a:ext cx="1266825" cy="600075"/>
                    </a:xfrm>
                    <a:prstGeom prst="rect">
                      <a:avLst/>
                    </a:prstGeom>
                    <a:noFill/>
                    <a:ln w="9525">
                      <a:noFill/>
                      <a:miter lim="800000"/>
                      <a:headEnd/>
                      <a:tailEnd/>
                    </a:ln>
                  </pic:spPr>
                </pic:pic>
              </a:graphicData>
            </a:graphic>
          </wp:anchor>
        </w:drawing>
      </w:r>
      <w:r>
        <w:rPr>
          <w:rFonts w:ascii="Times New Roman" w:hAnsi="Times New Roman"/>
          <w:sz w:val="24"/>
          <w:szCs w:val="24"/>
        </w:rPr>
        <w:t>10.10.2021</w:t>
      </w:r>
    </w:p>
    <w:p w:rsidR="00A87A56" w:rsidRDefault="00A87A56" w:rsidP="00EA511F">
      <w:pPr>
        <w:spacing w:after="0" w:line="240" w:lineRule="auto"/>
        <w:rPr>
          <w:rFonts w:ascii="Times New Roman" w:hAnsi="Times New Roman" w:cs="Times New Roman"/>
          <w:sz w:val="24"/>
          <w:szCs w:val="24"/>
        </w:rPr>
      </w:pPr>
    </w:p>
    <w:p w:rsidR="009F1C54" w:rsidRDefault="009F1C54" w:rsidP="00EA511F">
      <w:pPr>
        <w:spacing w:after="0" w:line="240" w:lineRule="auto"/>
        <w:rPr>
          <w:rFonts w:ascii="Times New Roman" w:hAnsi="Times New Roman" w:cs="Times New Roman"/>
          <w:sz w:val="24"/>
          <w:szCs w:val="24"/>
        </w:rPr>
      </w:pPr>
    </w:p>
    <w:p w:rsidR="009F1C54" w:rsidRDefault="009F1C54" w:rsidP="00EA511F">
      <w:pPr>
        <w:spacing w:after="0" w:line="240" w:lineRule="auto"/>
        <w:rPr>
          <w:rFonts w:ascii="Times New Roman" w:hAnsi="Times New Roman" w:cs="Times New Roman"/>
          <w:sz w:val="24"/>
          <w:szCs w:val="24"/>
        </w:rPr>
      </w:pPr>
    </w:p>
    <w:p w:rsidR="009F1C54" w:rsidRDefault="009F1C54" w:rsidP="00EA511F">
      <w:pPr>
        <w:spacing w:after="0" w:line="240" w:lineRule="auto"/>
        <w:rPr>
          <w:rFonts w:ascii="Times New Roman" w:hAnsi="Times New Roman" w:cs="Times New Roman"/>
          <w:sz w:val="24"/>
          <w:szCs w:val="24"/>
        </w:rPr>
      </w:pPr>
    </w:p>
    <w:p w:rsidR="009F1C54" w:rsidRPr="0007194F" w:rsidRDefault="009F1C54" w:rsidP="00EA511F">
      <w:pPr>
        <w:spacing w:after="0" w:line="240" w:lineRule="auto"/>
        <w:rPr>
          <w:rFonts w:ascii="Times New Roman" w:hAnsi="Times New Roman" w:cs="Times New Roman"/>
          <w:sz w:val="24"/>
          <w:szCs w:val="24"/>
        </w:rPr>
      </w:pPr>
    </w:p>
    <w:p w:rsidR="00B0242F" w:rsidRPr="0007194F" w:rsidRDefault="0040350A" w:rsidP="009477C2">
      <w:pPr>
        <w:spacing w:after="0" w:line="240" w:lineRule="auto"/>
        <w:rPr>
          <w:rFonts w:ascii="Times New Roman" w:hAnsi="Times New Roman" w:cs="Times New Roman"/>
          <w:sz w:val="24"/>
          <w:szCs w:val="24"/>
        </w:rPr>
      </w:pPr>
      <w:r>
        <w:rPr>
          <w:rFonts w:ascii="Times New Roman" w:hAnsi="Times New Roman"/>
          <w:sz w:val="24"/>
          <w:szCs w:val="24"/>
        </w:rPr>
        <w:t>Date of approval by the doctoral school council                     Signature of the doctoral school director</w:t>
      </w:r>
    </w:p>
    <w:sectPr w:rsidR="00B0242F" w:rsidRPr="0007194F" w:rsidSect="00A352F6">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63E" w:rsidRDefault="00D4663E" w:rsidP="007144D3">
      <w:pPr>
        <w:spacing w:after="0" w:line="240" w:lineRule="auto"/>
      </w:pPr>
      <w:r>
        <w:separator/>
      </w:r>
    </w:p>
  </w:endnote>
  <w:endnote w:type="continuationSeparator" w:id="1">
    <w:p w:rsidR="00D4663E" w:rsidRDefault="00D4663E" w:rsidP="00714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Rom">
    <w:altName w:val="Calibri"/>
    <w:panose1 w:val="00000000000000000000"/>
    <w:charset w:val="00"/>
    <w:family w:val="auto"/>
    <w:notTrueType/>
    <w:pitch w:val="variable"/>
    <w:sig w:usb0="00000003" w:usb1="00000000" w:usb2="00000000" w:usb3="00000000" w:csb0="00000001" w:csb1="00000000"/>
  </w:font>
  <w:font w:name="Univers 47 CondensedLight">
    <w:altName w:val="Univers 47 CondensedLight"/>
    <w:panose1 w:val="00000000000000000000"/>
    <w:charset w:val="00"/>
    <w:family w:val="swiss"/>
    <w:notTrueType/>
    <w:pitch w:val="default"/>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9050"/>
      <w:docPartObj>
        <w:docPartGallery w:val="Page Numbers (Bottom of Page)"/>
        <w:docPartUnique/>
      </w:docPartObj>
    </w:sdtPr>
    <w:sdtContent>
      <w:p w:rsidR="00AA18CC" w:rsidRDefault="005E54F0">
        <w:pPr>
          <w:pStyle w:val="Footer"/>
          <w:jc w:val="center"/>
        </w:pPr>
        <w:r>
          <w:fldChar w:fldCharType="begin"/>
        </w:r>
        <w:r w:rsidR="007742EF">
          <w:instrText xml:space="preserve"> PAGE   \* MERGEFORMAT </w:instrText>
        </w:r>
        <w:r>
          <w:fldChar w:fldCharType="separate"/>
        </w:r>
        <w:r w:rsidR="009F1C54">
          <w:rPr>
            <w:noProof/>
          </w:rPr>
          <w:t>3</w:t>
        </w:r>
        <w:r>
          <w:fldChar w:fldCharType="end"/>
        </w:r>
      </w:p>
    </w:sdtContent>
  </w:sdt>
  <w:p w:rsidR="00AA18CC" w:rsidRDefault="00AA18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63E" w:rsidRDefault="00D4663E" w:rsidP="007144D3">
      <w:pPr>
        <w:spacing w:after="0" w:line="240" w:lineRule="auto"/>
      </w:pPr>
      <w:r>
        <w:separator/>
      </w:r>
    </w:p>
  </w:footnote>
  <w:footnote w:type="continuationSeparator" w:id="1">
    <w:p w:rsidR="00D4663E" w:rsidRDefault="00D4663E" w:rsidP="007144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2F15"/>
    <w:multiLevelType w:val="hybridMultilevel"/>
    <w:tmpl w:val="D5720F3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02C91088"/>
    <w:multiLevelType w:val="hybridMultilevel"/>
    <w:tmpl w:val="E454F246"/>
    <w:lvl w:ilvl="0" w:tplc="BBB8161C">
      <w:start w:val="1"/>
      <w:numFmt w:val="bullet"/>
      <w:lvlText w:val=""/>
      <w:lvlJc w:val="left"/>
      <w:pPr>
        <w:tabs>
          <w:tab w:val="num" w:pos="924"/>
        </w:tabs>
        <w:ind w:left="924"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6B206EF"/>
    <w:multiLevelType w:val="multilevel"/>
    <w:tmpl w:val="E454F246"/>
    <w:lvl w:ilvl="0">
      <w:start w:val="1"/>
      <w:numFmt w:val="bullet"/>
      <w:lvlText w:val=""/>
      <w:lvlJc w:val="left"/>
      <w:pPr>
        <w:tabs>
          <w:tab w:val="num" w:pos="924"/>
        </w:tabs>
        <w:ind w:left="924" w:hanging="35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302C35AE"/>
    <w:multiLevelType w:val="hybridMultilevel"/>
    <w:tmpl w:val="28ACA0D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3B67263B"/>
    <w:multiLevelType w:val="hybridMultilevel"/>
    <w:tmpl w:val="27F2BD4E"/>
    <w:lvl w:ilvl="0" w:tplc="626E9FDA">
      <w:start w:val="1"/>
      <w:numFmt w:val="bullet"/>
      <w:lvlText w:val=""/>
      <w:lvlJc w:val="left"/>
      <w:pPr>
        <w:tabs>
          <w:tab w:val="num" w:pos="641"/>
        </w:tabs>
        <w:ind w:left="641"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45C73175"/>
    <w:multiLevelType w:val="hybridMultilevel"/>
    <w:tmpl w:val="7DE8BB6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49C607F2"/>
    <w:multiLevelType w:val="multilevel"/>
    <w:tmpl w:val="984E8774"/>
    <w:lvl w:ilvl="0">
      <w:start w:val="1"/>
      <w:numFmt w:val="bullet"/>
      <w:lvlText w:val=""/>
      <w:lvlJc w:val="left"/>
      <w:pPr>
        <w:tabs>
          <w:tab w:val="num" w:pos="907"/>
        </w:tabs>
        <w:ind w:left="907"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6B8E0563"/>
    <w:multiLevelType w:val="hybridMultilevel"/>
    <w:tmpl w:val="984E8774"/>
    <w:lvl w:ilvl="0" w:tplc="622ED6BC">
      <w:start w:val="1"/>
      <w:numFmt w:val="bullet"/>
      <w:lvlText w:val=""/>
      <w:lvlJc w:val="left"/>
      <w:pPr>
        <w:tabs>
          <w:tab w:val="num" w:pos="907"/>
        </w:tabs>
        <w:ind w:left="907" w:hanging="34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5"/>
  </w:num>
  <w:num w:numId="3">
    <w:abstractNumId w:val="3"/>
  </w:num>
  <w:num w:numId="4">
    <w:abstractNumId w:val="7"/>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3E7F77"/>
    <w:rsid w:val="0000057C"/>
    <w:rsid w:val="00002D5B"/>
    <w:rsid w:val="00021EE1"/>
    <w:rsid w:val="00024F1E"/>
    <w:rsid w:val="00062A97"/>
    <w:rsid w:val="0007194F"/>
    <w:rsid w:val="000A1E58"/>
    <w:rsid w:val="000C4513"/>
    <w:rsid w:val="001169A2"/>
    <w:rsid w:val="001211BE"/>
    <w:rsid w:val="00182F5B"/>
    <w:rsid w:val="001A3548"/>
    <w:rsid w:val="001B2FD7"/>
    <w:rsid w:val="001B3690"/>
    <w:rsid w:val="001C5845"/>
    <w:rsid w:val="001E50B0"/>
    <w:rsid w:val="00223D20"/>
    <w:rsid w:val="00243F1F"/>
    <w:rsid w:val="0025112F"/>
    <w:rsid w:val="0025166D"/>
    <w:rsid w:val="002562B1"/>
    <w:rsid w:val="0025666C"/>
    <w:rsid w:val="0027455B"/>
    <w:rsid w:val="002775DD"/>
    <w:rsid w:val="002812A5"/>
    <w:rsid w:val="00283E32"/>
    <w:rsid w:val="00291777"/>
    <w:rsid w:val="00292E04"/>
    <w:rsid w:val="002A177B"/>
    <w:rsid w:val="002C7A99"/>
    <w:rsid w:val="002D68E4"/>
    <w:rsid w:val="002E6FCD"/>
    <w:rsid w:val="002F46A8"/>
    <w:rsid w:val="00304B1C"/>
    <w:rsid w:val="003332C9"/>
    <w:rsid w:val="0034390B"/>
    <w:rsid w:val="00343DED"/>
    <w:rsid w:val="003761D3"/>
    <w:rsid w:val="003806E1"/>
    <w:rsid w:val="00385157"/>
    <w:rsid w:val="00385E40"/>
    <w:rsid w:val="0039133D"/>
    <w:rsid w:val="003B5A02"/>
    <w:rsid w:val="003E496D"/>
    <w:rsid w:val="003E7F77"/>
    <w:rsid w:val="0040350A"/>
    <w:rsid w:val="0040385D"/>
    <w:rsid w:val="00414286"/>
    <w:rsid w:val="004177E5"/>
    <w:rsid w:val="00425C05"/>
    <w:rsid w:val="00450A21"/>
    <w:rsid w:val="004570C9"/>
    <w:rsid w:val="00461B1A"/>
    <w:rsid w:val="004A53A0"/>
    <w:rsid w:val="004C1F80"/>
    <w:rsid w:val="004C6417"/>
    <w:rsid w:val="0053334F"/>
    <w:rsid w:val="005456D4"/>
    <w:rsid w:val="005A12E1"/>
    <w:rsid w:val="005A4798"/>
    <w:rsid w:val="005D3695"/>
    <w:rsid w:val="005D448E"/>
    <w:rsid w:val="005E54F0"/>
    <w:rsid w:val="005E77BE"/>
    <w:rsid w:val="00603562"/>
    <w:rsid w:val="00646C4D"/>
    <w:rsid w:val="0067495B"/>
    <w:rsid w:val="00681614"/>
    <w:rsid w:val="006912EF"/>
    <w:rsid w:val="00695AB2"/>
    <w:rsid w:val="00695C8F"/>
    <w:rsid w:val="00696A5C"/>
    <w:rsid w:val="006977ED"/>
    <w:rsid w:val="006D061F"/>
    <w:rsid w:val="006E3E9C"/>
    <w:rsid w:val="006E415D"/>
    <w:rsid w:val="006E4A32"/>
    <w:rsid w:val="006F226F"/>
    <w:rsid w:val="007121DB"/>
    <w:rsid w:val="007144D3"/>
    <w:rsid w:val="007221C0"/>
    <w:rsid w:val="007449F1"/>
    <w:rsid w:val="00754C7D"/>
    <w:rsid w:val="00757C43"/>
    <w:rsid w:val="00761633"/>
    <w:rsid w:val="007742EF"/>
    <w:rsid w:val="00782FD0"/>
    <w:rsid w:val="007A19DD"/>
    <w:rsid w:val="007D40D1"/>
    <w:rsid w:val="008027E9"/>
    <w:rsid w:val="00813972"/>
    <w:rsid w:val="0083153A"/>
    <w:rsid w:val="008712DB"/>
    <w:rsid w:val="00897094"/>
    <w:rsid w:val="00897E4F"/>
    <w:rsid w:val="008A0629"/>
    <w:rsid w:val="008B1658"/>
    <w:rsid w:val="008C4D5E"/>
    <w:rsid w:val="008E27A6"/>
    <w:rsid w:val="009103B1"/>
    <w:rsid w:val="00910AFB"/>
    <w:rsid w:val="0091216D"/>
    <w:rsid w:val="00916E16"/>
    <w:rsid w:val="00926EC3"/>
    <w:rsid w:val="00944D17"/>
    <w:rsid w:val="009477C2"/>
    <w:rsid w:val="00952A92"/>
    <w:rsid w:val="009637CE"/>
    <w:rsid w:val="00975E82"/>
    <w:rsid w:val="009771D5"/>
    <w:rsid w:val="00981FD0"/>
    <w:rsid w:val="009C424C"/>
    <w:rsid w:val="009E2350"/>
    <w:rsid w:val="009F1C54"/>
    <w:rsid w:val="00A158BD"/>
    <w:rsid w:val="00A352F6"/>
    <w:rsid w:val="00A5014E"/>
    <w:rsid w:val="00A637BC"/>
    <w:rsid w:val="00A755B1"/>
    <w:rsid w:val="00A87A56"/>
    <w:rsid w:val="00A91578"/>
    <w:rsid w:val="00A9450D"/>
    <w:rsid w:val="00AA18CC"/>
    <w:rsid w:val="00AB18CF"/>
    <w:rsid w:val="00AB1DD2"/>
    <w:rsid w:val="00AF701B"/>
    <w:rsid w:val="00B0242F"/>
    <w:rsid w:val="00B30268"/>
    <w:rsid w:val="00B510D8"/>
    <w:rsid w:val="00B607DF"/>
    <w:rsid w:val="00B7109F"/>
    <w:rsid w:val="00B848B9"/>
    <w:rsid w:val="00C1183D"/>
    <w:rsid w:val="00CB7893"/>
    <w:rsid w:val="00CE71E1"/>
    <w:rsid w:val="00D11956"/>
    <w:rsid w:val="00D20919"/>
    <w:rsid w:val="00D24440"/>
    <w:rsid w:val="00D3029D"/>
    <w:rsid w:val="00D4663E"/>
    <w:rsid w:val="00D610D1"/>
    <w:rsid w:val="00DB4BF7"/>
    <w:rsid w:val="00DD2B25"/>
    <w:rsid w:val="00DF06CD"/>
    <w:rsid w:val="00E037F6"/>
    <w:rsid w:val="00E12AB5"/>
    <w:rsid w:val="00E4537D"/>
    <w:rsid w:val="00E62E70"/>
    <w:rsid w:val="00E6781F"/>
    <w:rsid w:val="00E7126B"/>
    <w:rsid w:val="00E852C0"/>
    <w:rsid w:val="00EA511F"/>
    <w:rsid w:val="00EB1368"/>
    <w:rsid w:val="00EC182B"/>
    <w:rsid w:val="00F15C49"/>
    <w:rsid w:val="00F1742F"/>
    <w:rsid w:val="00F22F48"/>
    <w:rsid w:val="00F231CA"/>
    <w:rsid w:val="00F5326A"/>
    <w:rsid w:val="00F9203A"/>
    <w:rsid w:val="00FA037A"/>
    <w:rsid w:val="00FB38E8"/>
    <w:rsid w:val="00FB47FC"/>
    <w:rsid w:val="00FB77B5"/>
    <w:rsid w:val="00FC199A"/>
    <w:rsid w:val="00FD5B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55B"/>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pPr>
  </w:style>
  <w:style w:type="table" w:styleId="TableGrid">
    <w:name w:val="Table Grid"/>
    <w:basedOn w:val="TableNormal"/>
    <w:uiPriority w:val="99"/>
    <w:rsid w:val="003E7F7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04B1C"/>
    <w:rPr>
      <w:rFonts w:ascii="Times New Roman" w:hAnsi="Times New Roman" w:cs="Times New Roman"/>
      <w:sz w:val="2"/>
      <w:szCs w:val="2"/>
      <w:lang w:val="en-GB"/>
    </w:rPr>
  </w:style>
  <w:style w:type="paragraph" w:styleId="DocumentMap">
    <w:name w:val="Document Map"/>
    <w:basedOn w:val="Normal"/>
    <w:link w:val="DocumentMapChar"/>
    <w:uiPriority w:val="99"/>
    <w:semiHidden/>
    <w:unhideWhenUsed/>
    <w:rsid w:val="00F231CA"/>
    <w:rPr>
      <w:rFonts w:ascii="Tahoma" w:hAnsi="Tahoma" w:cs="Tahoma"/>
      <w:sz w:val="16"/>
      <w:szCs w:val="16"/>
    </w:rPr>
  </w:style>
  <w:style w:type="character" w:customStyle="1" w:styleId="DocumentMapChar">
    <w:name w:val="Document Map Char"/>
    <w:basedOn w:val="DefaultParagraphFont"/>
    <w:link w:val="DocumentMap"/>
    <w:uiPriority w:val="99"/>
    <w:semiHidden/>
    <w:rsid w:val="00F231CA"/>
    <w:rPr>
      <w:rFonts w:ascii="Tahoma" w:hAnsi="Tahoma" w:cs="Tahoma"/>
      <w:sz w:val="16"/>
      <w:szCs w:val="16"/>
      <w:lang w:val="en-GB" w:eastAsia="en-US"/>
    </w:rPr>
  </w:style>
  <w:style w:type="paragraph" w:styleId="Header">
    <w:name w:val="header"/>
    <w:basedOn w:val="Normal"/>
    <w:link w:val="HeaderChar"/>
    <w:uiPriority w:val="99"/>
    <w:semiHidden/>
    <w:unhideWhenUsed/>
    <w:rsid w:val="007144D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144D3"/>
    <w:rPr>
      <w:rFonts w:cs="Calibri"/>
      <w:sz w:val="22"/>
      <w:szCs w:val="22"/>
      <w:lang w:val="en-GB" w:eastAsia="en-US"/>
    </w:rPr>
  </w:style>
  <w:style w:type="paragraph" w:styleId="Footer">
    <w:name w:val="footer"/>
    <w:basedOn w:val="Normal"/>
    <w:link w:val="FooterChar"/>
    <w:uiPriority w:val="99"/>
    <w:unhideWhenUsed/>
    <w:rsid w:val="007144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144D3"/>
    <w:rPr>
      <w:rFonts w:cs="Calibri"/>
      <w:sz w:val="22"/>
      <w:szCs w:val="22"/>
      <w:lang w:val="en-GB" w:eastAsia="en-US"/>
    </w:rPr>
  </w:style>
  <w:style w:type="paragraph" w:customStyle="1" w:styleId="Sorin">
    <w:name w:val="Sorin"/>
    <w:rsid w:val="00DB4BF7"/>
    <w:rPr>
      <w:rFonts w:ascii="Arial-Rom" w:eastAsia="Times New Roman" w:hAnsi="Arial-Rom"/>
      <w:color w:val="000000"/>
      <w:sz w:val="22"/>
      <w:lang w:eastAsia="en-US"/>
    </w:rPr>
  </w:style>
  <w:style w:type="paragraph" w:customStyle="1" w:styleId="Default">
    <w:name w:val="Default"/>
    <w:rsid w:val="00182F5B"/>
    <w:pPr>
      <w:autoSpaceDE w:val="0"/>
      <w:autoSpaceDN w:val="0"/>
      <w:adjustRightInd w:val="0"/>
    </w:pPr>
    <w:rPr>
      <w:rFonts w:ascii="Univers 47 CondensedLight" w:hAnsi="Univers 47 CondensedLight" w:cs="Univers 47 CondensedLight"/>
      <w:color w:val="000000"/>
      <w:sz w:val="24"/>
      <w:szCs w:val="24"/>
    </w:rPr>
  </w:style>
  <w:style w:type="paragraph" w:styleId="HTMLPreformatted">
    <w:name w:val="HTML Preformatted"/>
    <w:basedOn w:val="Normal"/>
    <w:link w:val="HTMLPreformattedChar"/>
    <w:uiPriority w:val="99"/>
    <w:unhideWhenUsed/>
    <w:rsid w:val="000A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0A1E58"/>
    <w:rPr>
      <w:rFonts w:ascii="Courier New" w:eastAsia="Times New Roman" w:hAnsi="Courier New" w:cs="Courier New"/>
      <w:lang w:val="en-US" w:eastAsia="en-US"/>
    </w:rPr>
  </w:style>
  <w:style w:type="character" w:customStyle="1" w:styleId="y2iqfc">
    <w:name w:val="y2iqfc"/>
    <w:basedOn w:val="DefaultParagraphFont"/>
    <w:rsid w:val="000A1E58"/>
  </w:style>
</w:styles>
</file>

<file path=word/webSettings.xml><?xml version="1.0" encoding="utf-8"?>
<w:webSettings xmlns:r="http://schemas.openxmlformats.org/officeDocument/2006/relationships" xmlns:w="http://schemas.openxmlformats.org/wordprocessingml/2006/main">
  <w:divs>
    <w:div w:id="365301791">
      <w:bodyDiv w:val="1"/>
      <w:marLeft w:val="0"/>
      <w:marRight w:val="0"/>
      <w:marTop w:val="0"/>
      <w:marBottom w:val="0"/>
      <w:divBdr>
        <w:top w:val="none" w:sz="0" w:space="0" w:color="auto"/>
        <w:left w:val="none" w:sz="0" w:space="0" w:color="auto"/>
        <w:bottom w:val="none" w:sz="0" w:space="0" w:color="auto"/>
        <w:right w:val="none" w:sz="0" w:space="0" w:color="auto"/>
      </w:divBdr>
    </w:div>
    <w:div w:id="681205179">
      <w:bodyDiv w:val="1"/>
      <w:marLeft w:val="0"/>
      <w:marRight w:val="0"/>
      <w:marTop w:val="0"/>
      <w:marBottom w:val="0"/>
      <w:divBdr>
        <w:top w:val="none" w:sz="0" w:space="0" w:color="auto"/>
        <w:left w:val="none" w:sz="0" w:space="0" w:color="auto"/>
        <w:bottom w:val="none" w:sz="0" w:space="0" w:color="auto"/>
        <w:right w:val="none" w:sz="0" w:space="0" w:color="auto"/>
      </w:divBdr>
    </w:div>
    <w:div w:id="1054088021">
      <w:bodyDiv w:val="1"/>
      <w:marLeft w:val="0"/>
      <w:marRight w:val="0"/>
      <w:marTop w:val="0"/>
      <w:marBottom w:val="0"/>
      <w:divBdr>
        <w:top w:val="none" w:sz="0" w:space="0" w:color="auto"/>
        <w:left w:val="none" w:sz="0" w:space="0" w:color="auto"/>
        <w:bottom w:val="none" w:sz="0" w:space="0" w:color="auto"/>
        <w:right w:val="none" w:sz="0" w:space="0" w:color="auto"/>
      </w:divBdr>
    </w:div>
    <w:div w:id="1873028108">
      <w:bodyDiv w:val="1"/>
      <w:marLeft w:val="0"/>
      <w:marRight w:val="0"/>
      <w:marTop w:val="0"/>
      <w:marBottom w:val="0"/>
      <w:divBdr>
        <w:top w:val="none" w:sz="0" w:space="0" w:color="auto"/>
        <w:left w:val="none" w:sz="0" w:space="0" w:color="auto"/>
        <w:bottom w:val="none" w:sz="0" w:space="0" w:color="auto"/>
        <w:right w:val="none" w:sz="0" w:space="0" w:color="auto"/>
      </w:divBdr>
    </w:div>
    <w:div w:id="210109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4F01AC-B846-40F1-928B-2074E6AD9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UBB</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Ion Grosu</cp:lastModifiedBy>
  <cp:revision>4</cp:revision>
  <cp:lastPrinted>2012-06-29T09:42:00Z</cp:lastPrinted>
  <dcterms:created xsi:type="dcterms:W3CDTF">2021-10-13T12:44:00Z</dcterms:created>
  <dcterms:modified xsi:type="dcterms:W3CDTF">2021-10-16T05:09:00Z</dcterms:modified>
</cp:coreProperties>
</file>