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08EF" w:rsidRDefault="00C408EF" w:rsidP="00C408EF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1. </w:t>
      </w:r>
      <w:proofErr w:type="spellStart"/>
      <w:r w:rsidR="00C408EF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C408EF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C408EF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C408EF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B000E5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C408EF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Master </w:t>
            </w:r>
          </w:p>
        </w:tc>
      </w:tr>
      <w:tr w:rsidR="00C408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8EF" w:rsidRDefault="00C408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 Didactic - Chimie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2. </w:t>
      </w:r>
      <w:proofErr w:type="spellStart"/>
      <w:r w:rsidR="00B14B66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B14B66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B14B66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B14B66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B14B66">
        <w:rPr>
          <w:rFonts w:ascii="Times New Roman" w:hAnsi="Times New Roman"/>
          <w:b/>
          <w:sz w:val="24"/>
          <w:szCs w:val="24"/>
          <w:lang w:val="hu-HU"/>
        </w:rPr>
        <w:t>disciplină</w:t>
      </w:r>
      <w:proofErr w:type="spellEnd"/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67"/>
      </w:tblGrid>
      <w:tr w:rsidR="00B14B66" w:rsidTr="00BA5845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Practică pedagogică PPR2  </w:t>
            </w:r>
          </w:p>
        </w:tc>
      </w:tr>
      <w:tr w:rsidR="00B14B66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B14B66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B14B66" w:rsidTr="00BA584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B14B66" w:rsidRDefault="00A2218F" w:rsidP="00B14B66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B14B66">
        <w:rPr>
          <w:rFonts w:ascii="Times New Roman" w:hAnsi="Times New Roman"/>
          <w:b/>
          <w:sz w:val="24"/>
          <w:szCs w:val="24"/>
        </w:rPr>
        <w:t>Timpul total estimat</w:t>
      </w:r>
      <w:r w:rsidR="00B14B66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B14B66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14B66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B66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B66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</w:pPr>
          </w:p>
        </w:tc>
      </w:tr>
      <w:tr w:rsidR="00B14B66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</w:pPr>
          </w:p>
        </w:tc>
      </w:tr>
      <w:tr w:rsidR="00B14B66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14B66" w:rsidRDefault="00B14B6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 w:rsidR="00B14B66">
        <w:rPr>
          <w:rFonts w:ascii="Times New Roman" w:hAnsi="Times New Roman"/>
          <w:b/>
          <w:sz w:val="24"/>
          <w:szCs w:val="24"/>
        </w:rPr>
        <w:t xml:space="preserve">Precondiţii </w:t>
      </w:r>
      <w:r w:rsidR="00B14B66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B14B66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B14B66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competențe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66" w:rsidRDefault="00B14B66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B14B66" w:rsidRDefault="00B14B66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B14B66" w:rsidRPr="00132933" w:rsidRDefault="00B14B66" w:rsidP="00BA5845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B14B66" w:rsidRPr="00132933" w:rsidRDefault="00B14B66" w:rsidP="00BA5845">
            <w:pPr>
              <w:pStyle w:val="Listaszerbekezds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t>să poată colabora cu mentorul și elevii școlii</w:t>
            </w:r>
          </w:p>
          <w:p w:rsidR="00B14B66" w:rsidRDefault="00B14B66" w:rsidP="00BA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B14B66" w:rsidRDefault="00B14B66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B14B66" w:rsidRDefault="00B14B66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5. </w:t>
      </w:r>
      <w:r w:rsidR="00B14B66">
        <w:rPr>
          <w:rFonts w:ascii="Times New Roman" w:hAnsi="Times New Roman"/>
          <w:b/>
          <w:sz w:val="24"/>
          <w:szCs w:val="24"/>
        </w:rPr>
        <w:t>Condiţii</w:t>
      </w:r>
      <w:r w:rsidR="00B14B66">
        <w:rPr>
          <w:rFonts w:ascii="Times New Roman" w:hAnsi="Times New Roman"/>
          <w:sz w:val="24"/>
          <w:szCs w:val="24"/>
        </w:rPr>
        <w:t xml:space="preserve"> (acolo unde este cazul)</w:t>
      </w:r>
    </w:p>
    <w:p w:rsidR="00496F93" w:rsidRDefault="009F4262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6.5pt;width:534.55pt;height:56.65pt;z-index:251657216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988"/>
                    <w:gridCol w:w="7704"/>
                  </w:tblGrid>
                  <w:tr w:rsidR="00B14B66" w:rsidTr="00BA5845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B14B66" w:rsidRDefault="00B14B66" w:rsidP="00BA5845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5.1 De desfăşurare a cursului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B14B66" w:rsidRDefault="00B14B66" w:rsidP="00BA5845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Default="00B14B66" w:rsidP="00BA5845">
                        <w:pPr>
                          <w:spacing w:after="0" w:line="240" w:lineRule="auto"/>
                          <w:ind w:left="641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B14B66" w:rsidTr="00BA5845">
                    <w:tc>
                      <w:tcPr>
                        <w:tcW w:w="2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B14B66" w:rsidRDefault="00B14B66" w:rsidP="00BA5845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5.2  De desfăşurare a seminarului/laboratorului</w:t>
                        </w:r>
                      </w:p>
                    </w:tc>
                    <w:tc>
                      <w:tcPr>
                        <w:tcW w:w="7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B14B66" w:rsidRDefault="00B14B66" w:rsidP="00BA5845">
                        <w:pPr>
                          <w:numPr>
                            <w:ilvl w:val="0"/>
                            <w:numId w:val="6"/>
                          </w:numPr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Proiector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laptop,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tablă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cretă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>/marker</w:t>
                        </w:r>
                      </w:p>
                    </w:tc>
                  </w:tr>
                </w:tbl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B14B66" w:rsidRPr="0024258E" w:rsidRDefault="00B14B66" w:rsidP="00B14B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Competenţele specifice acumulate 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B14B66" w:rsidTr="00BA5845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B14B66" w:rsidRDefault="00B14B66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B14B66" w:rsidRDefault="00B14B66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4B66" w:rsidRPr="009A51E2" w:rsidRDefault="00B14B66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66" w:rsidRPr="009A20A4" w:rsidRDefault="00B14B66" w:rsidP="00BA5845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B14B66" w:rsidRPr="009A20A4" w:rsidRDefault="00B14B66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66" w:rsidRDefault="00B14B66" w:rsidP="00BA5845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B14B66" w:rsidRPr="009A20A4" w:rsidRDefault="00B14B66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B14B66" w:rsidRPr="009A51E2" w:rsidRDefault="00B14B66" w:rsidP="00BA5845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B14B66" w:rsidTr="00BA5845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B14B66" w:rsidRDefault="00B14B66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4B66" w:rsidRPr="009A20A4" w:rsidRDefault="00B14B66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66" w:rsidRPr="009A20A4" w:rsidRDefault="00B14B66" w:rsidP="009F4262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normelor și principiilor profesionale bazate pe o alegere clară de valori, care să reflecte expertiza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științele</w:t>
            </w: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educaționale</w:t>
            </w:r>
          </w:p>
          <w:p w:rsidR="009F4262" w:rsidRDefault="009F4262" w:rsidP="009F4262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9F4262" w:rsidRDefault="009F4262" w:rsidP="009F4262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9F4262" w:rsidRDefault="009F4262" w:rsidP="009F4262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9F4262" w:rsidRDefault="009F4262" w:rsidP="009F4262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B14B66" w:rsidRDefault="009F4262" w:rsidP="009F4262">
            <w:pPr>
              <w:snapToGrid w:val="0"/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Angajarea în activităţi de promovare a unor pactici şi experienţe didactice cu impact social şi etic, în perspectivă mono- şi trans-disciplinară.</w:t>
            </w:r>
            <w:bookmarkStart w:id="0" w:name="_GoBack"/>
            <w:bookmarkEnd w:id="0"/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B14B66" w:rsidRDefault="00A2218F" w:rsidP="00B14B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lastRenderedPageBreak/>
        <w:t xml:space="preserve">7. </w:t>
      </w:r>
      <w:r w:rsidR="009F4262">
        <w:pict>
          <v:shape id="_x0000_s1031" type="#_x0000_t202" style="position:absolute;margin-left:1.5pt;margin-top:46.35pt;width:542.85pt;height:377.25pt;z-index:251660288;mso-wrap-distance-left:0;mso-position-horizontal-relative:margin;mso-position-vertical-relative:tex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055"/>
                    <w:gridCol w:w="7877"/>
                  </w:tblGrid>
                  <w:tr w:rsidR="00B14B66" w:rsidTr="0024258E">
                    <w:trPr>
                      <w:trHeight w:val="3191"/>
                    </w:trPr>
                    <w:tc>
                      <w:tcPr>
                        <w:tcW w:w="30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B14B66" w:rsidRDefault="00B14B66">
                        <w:pPr>
                          <w:snapToGrid w:val="0"/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7.1 Obiectivul general al disciplinei</w:t>
                        </w:r>
                      </w:p>
                    </w:tc>
                    <w:tc>
                      <w:tcPr>
                        <w:tcW w:w="7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Utilizarea cunoștințelor profesionale, a cunoștințelor psihopedagogice și metodologice în implementarea activităților educaționale.</w:t>
                        </w:r>
                      </w:p>
                      <w:p w:rsidR="00B14B66" w:rsidRPr="001F1F64" w:rsidRDefault="00B14B66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unei game largi de metode și instrumente de evaluare, aprofundare, analiză și comunicare tipice educației școlare</w:t>
                        </w:r>
                      </w:p>
                      <w:p w:rsidR="00B14B66" w:rsidRPr="001F1F64" w:rsidRDefault="00B14B66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3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Identificarea tipurilor de resurse educaționale adecvate diferitelor contexte specifice activității educaționale școlare.</w:t>
                        </w:r>
                      </w:p>
                      <w:p w:rsidR="00B14B66" w:rsidRDefault="00B14B66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  <w:tr w:rsidR="00B14B66" w:rsidTr="0024258E">
                    <w:trPr>
                      <w:trHeight w:val="4116"/>
                    </w:trPr>
                    <w:tc>
                      <w:tcPr>
                        <w:tcW w:w="30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</w:tcPr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 Obiectivele specifice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  <w:t xml:space="preserve"> </w:t>
                        </w:r>
                      </w:p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  <w:p w:rsidR="00B14B66" w:rsidRDefault="00B14B66">
                        <w:pPr>
                          <w:spacing w:before="240"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  <w:tc>
                      <w:tcPr>
                        <w:tcW w:w="7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</w:tcPr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deprinderilor, cunoștințelor psihopedagogice și metodologice în practică (planificarea și desfășurarea activităților de învățare)</w:t>
                        </w:r>
                      </w:p>
                      <w:p w:rsidR="00B14B66" w:rsidRPr="001F1F64" w:rsidRDefault="00B14B66" w:rsidP="00EE576C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</w:p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în practică a metodelor, instrumentelor, a modelelării și tehnicilor învățate în pedagogie și metodica.</w:t>
                        </w:r>
                      </w:p>
                      <w:p w:rsidR="00B14B66" w:rsidRPr="001F1F64" w:rsidRDefault="00B14B66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Aplicarea eficientă a metodelor corecte de evaluare și a procedurilor de autoevaluare.</w:t>
                        </w:r>
                      </w:p>
                      <w:p w:rsidR="00B14B66" w:rsidRPr="001F1F64" w:rsidRDefault="00B14B66" w:rsidP="001F1F64">
                        <w:pPr>
                          <w:pStyle w:val="HTML-kntformzot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14B66" w:rsidRPr="001F1F64" w:rsidRDefault="00B14B66" w:rsidP="00B14B66">
                        <w:pPr>
                          <w:pStyle w:val="HTML-kntformzott"/>
                          <w:numPr>
                            <w:ilvl w:val="0"/>
                            <w:numId w:val="14"/>
                          </w:num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F1F6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Cu ajutorul mentorilor evaluarea și identificarea tipurilor de resurse educaționale corespunzătoare activităților educaționale</w:t>
                        </w:r>
                      </w:p>
                      <w:p w:rsidR="00B14B66" w:rsidRDefault="00B14B66" w:rsidP="001F1F64">
                        <w:pPr>
                          <w:spacing w:before="240"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  <w:lang w:val="hu-HU"/>
                          </w:rPr>
                        </w:pPr>
                      </w:p>
                    </w:tc>
                  </w:tr>
                </w:tbl>
                <w:p w:rsidR="00B14B66" w:rsidRDefault="00B14B66" w:rsidP="00B14B66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B14B66">
        <w:rPr>
          <w:rFonts w:ascii="Times New Roman" w:hAnsi="Times New Roman"/>
          <w:b/>
          <w:sz w:val="24"/>
          <w:szCs w:val="24"/>
        </w:rPr>
        <w:t xml:space="preserve"> Obiectivele disciplinei</w:t>
      </w:r>
      <w:r w:rsidR="00B14B66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496F93" w:rsidRDefault="00496F93">
      <w:pPr>
        <w:spacing w:before="24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B14B66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8. </w:t>
      </w:r>
      <w:proofErr w:type="spellStart"/>
      <w:r>
        <w:rPr>
          <w:rFonts w:ascii="Times New Roman" w:hAnsi="Times New Roman"/>
          <w:b/>
          <w:sz w:val="24"/>
          <w:szCs w:val="24"/>
          <w:lang w:val="hu-HU"/>
        </w:rPr>
        <w:t>Conținuturi</w:t>
      </w:r>
      <w:proofErr w:type="spellEnd"/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272"/>
      </w:tblGrid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 w:rsidP="00B14B66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8.1. </w:t>
            </w:r>
            <w:proofErr w:type="spellStart"/>
            <w:r w:rsidR="00B14B66"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B14B66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B14B66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Observații</w:t>
            </w:r>
            <w:proofErr w:type="spellEnd"/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2218F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practică</w:t>
            </w:r>
            <w:proofErr w:type="spellEnd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B14B66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Introducere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Activități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organizatorice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Pr="0002751E" w:rsidRDefault="0002751E" w:rsidP="0002751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2751E" w:rsidRPr="00A47D62" w:rsidRDefault="0002751E" w:rsidP="00A47D62">
            <w:pPr>
              <w:pStyle w:val="HTML-kntformzot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0F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Studiul programei școlare chimie pentru clasele 7-8,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9-10, </w:t>
            </w:r>
            <w:r w:rsidRPr="00E20F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analiza manualelor și a culegerilor de probleme.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posibilitatății</w:t>
            </w:r>
            <w:proofErr w:type="spellEnd"/>
            <w:r w:rsidRPr="00E20F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aplicării metodelor digitale</w:t>
            </w:r>
            <w:r w:rsidRPr="00E20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2072" w:rsidRPr="00722072" w:rsidRDefault="00722072" w:rsidP="0002751E">
            <w:pPr>
              <w:snapToGrid w:val="0"/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51E" w:rsidRDefault="0002751E" w:rsidP="0002751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conversație, analiză, </w:t>
            </w:r>
          </w:p>
          <w:p w:rsidR="0002751E" w:rsidRPr="009B38A5" w:rsidRDefault="0002751E" w:rsidP="0002751E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discutie</w:t>
            </w:r>
          </w:p>
          <w:p w:rsidR="00722072" w:rsidRDefault="00722072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D62" w:rsidRDefault="00A47D62" w:rsidP="00A47D62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Tematica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cuprinde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</w:p>
          <w:p w:rsidR="004C3293" w:rsidRDefault="00A47D62" w:rsidP="00A47D62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directă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mediului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școlar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clasei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elevi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li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susținerea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secvențe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lecții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sub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monitorizare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analiza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critică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propunerea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alternative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scenarii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concurente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situațiile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educaționale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observate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Observarea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unor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roluri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școală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altele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decât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asociate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predare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propriu-zisă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  <w:p w:rsidR="00A47D62" w:rsidRPr="009B38A5" w:rsidRDefault="00A47D62" w:rsidP="00A47D62">
            <w:pPr>
              <w:snapToGrid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Participare</w:t>
            </w:r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studentului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la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extracuriculare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coala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altfel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programe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excelență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sau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integrare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  <w:p w:rsidR="00496F93" w:rsidRDefault="00A47D62" w:rsidP="004C32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Documentele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participării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: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planurile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reflectările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asupra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activităților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care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studentul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participat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timpul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practicii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pedagogice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trebuie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incluse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în</w:t>
            </w:r>
            <w:proofErr w:type="spellEnd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B38A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portofoliu</w:t>
            </w:r>
            <w:proofErr w:type="spellEnd"/>
            <w:r w:rsidR="004C3293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3367CE" w:rsidP="003367CE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Inter-, transdisciplinaritate. </w:t>
            </w:r>
            <w:r w:rsidR="0002751E">
              <w:rPr>
                <w:rFonts w:ascii="Times New Roman" w:hAnsi="Times New Roman"/>
                <w:sz w:val="24"/>
                <w:szCs w:val="24"/>
              </w:rPr>
              <w:t xml:space="preserve">Studiul programei școlare de biologie, fizică, chimie, geografie a claselor </w:t>
            </w:r>
            <w:r w:rsidR="00915875">
              <w:rPr>
                <w:rFonts w:ascii="Times New Roman" w:hAnsi="Times New Roman"/>
                <w:sz w:val="24"/>
                <w:szCs w:val="24"/>
              </w:rPr>
              <w:t>5-8</w:t>
            </w:r>
            <w:r w:rsidR="000275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căutând noțiuni chimice în aceste discipline pt. a arăta conexiunea dintre discipline.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3367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discuție</w:t>
            </w:r>
            <w:proofErr w:type="spellEnd"/>
          </w:p>
          <w:p w:rsidR="00722072" w:rsidRDefault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B147A5" w:rsidP="00B147A5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Inter- transdisciplinaritate. Studiul programei școlare de biologie, fizică, chimie, geografie a claselor 9-10, căutând noțiuni chimice în aceste discipline pt. a arăta conexiunea dintre discipline.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7A5" w:rsidRDefault="00B147A5" w:rsidP="00B147A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discuție</w:t>
            </w:r>
            <w:proofErr w:type="spellEnd"/>
          </w:p>
          <w:p w:rsidR="00496F93" w:rsidRDefault="00496F93" w:rsidP="007220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13EF1" w:rsidRPr="00C36E62" w:rsidRDefault="00113EF1" w:rsidP="00113EF1">
            <w:pPr>
              <w:pStyle w:val="HTML-kntformzot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observativă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clasele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7-8.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lecțiilor</w:t>
            </w:r>
            <w:proofErr w:type="spellEnd"/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specte de observare: obiectivele și cerințe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lecției, nivelul implementării acestora. Analiza activităților de învățare pt formarea competențelor specifice. Corelarea competențelor specifice și a conținutului educațional selectat, varietatea metodelor și strategiilor didactice, aplicarea alternativă a diferitelor forme organizatorice (frontală, de grup, de cooperare, de pereche, individuală, individualizatâ)</w:t>
            </w:r>
          </w:p>
          <w:p w:rsidR="00496F93" w:rsidRDefault="00496F93" w:rsidP="00113EF1">
            <w:pPr>
              <w:snapToGrid w:val="0"/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A47D6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discuție</w:t>
            </w:r>
            <w:proofErr w:type="spellEnd"/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7A6687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63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D62" w:rsidRPr="009B38A5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planificare, implementare, analiză, evaluare, </w:t>
            </w:r>
          </w:p>
          <w:p w:rsidR="00496F93" w:rsidRDefault="00496F93" w:rsidP="009D2B9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7A6687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participare activă prin susținerea unei secvențe de lecții sub monitorizare.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93" w:rsidRDefault="00A47D6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106330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cu participare activă prin susținerea unei secvențe de lecții sub monitorizare, aplicând metoda experimentului. Pregătirea planului secvenței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D62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A47D62" w:rsidRPr="009B38A5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5224D9" w:rsidRDefault="005224D9" w:rsidP="00522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58256E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participare activă prin susținerea unei secvențe de lecții sub monitorizare, aplicând metode 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D62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A47D62" w:rsidRPr="009B38A5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analiză, evaluare, autoevaluare</w:t>
            </w:r>
          </w:p>
          <w:p w:rsidR="005224D9" w:rsidRDefault="005224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7A6687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7-8 cu participare activă prin susținerea unei secvențe de lecții sub monitorizare, aplicând metode cooperative de predare-învâțare.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EF1" w:rsidRPr="009B38A5" w:rsidRDefault="00113EF1" w:rsidP="00113EF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113EF1" w:rsidP="00113EF1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Metoda modelării. Metoda modelării la ore de chimie în clasele 7-8.</w:t>
            </w:r>
            <w:r w:rsidR="00106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Aplicarea metodei în cadrul unei lecții.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EF1" w:rsidRPr="009B38A5" w:rsidRDefault="00113EF1" w:rsidP="00113EF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planificare, implementare, analiză, </w:t>
            </w:r>
          </w:p>
          <w:p w:rsidR="00ED2A97" w:rsidRDefault="00ED2A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47D62" w:rsidP="00A47D62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Tipuri de fișe de evaluare.</w:t>
            </w:r>
            <w:r w:rsidR="00FD2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Criterii, punctaj, barem. Aplicarea unei fișe în cadrul unei lecții de verificare a cunoștințelor. Corectare și evaluare. Feedback.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EF1" w:rsidRDefault="00113EF1" w:rsidP="00113EF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planificare, implementare, analiză, </w:t>
            </w:r>
          </w:p>
          <w:p w:rsidR="00A47D62" w:rsidRPr="009B38A5" w:rsidRDefault="00A47D62" w:rsidP="00113EF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</w:t>
            </w:r>
          </w:p>
          <w:p w:rsidR="00496F93" w:rsidRDefault="00496F93" w:rsidP="0031589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47D62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 observativă în clasele 7-8 cu participare activă prin susținerea unei secvențe de lecții cu rezolvare de probleme sub monitorizare. Pregătirea planului secvenței de lecții, rezolvarea metodică a problemelor, algoritmizare.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EF1" w:rsidRPr="009B38A5" w:rsidRDefault="00113EF1" w:rsidP="00113EF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 implementare, analiză, evaluare, autoevaluare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6F93" w:rsidRDefault="00A47D62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Analiza practicii, evaluarea la sfârșitul semestrului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D62" w:rsidRPr="009B38A5" w:rsidRDefault="00A47D62" w:rsidP="00A47D62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496F93" w:rsidRDefault="00496F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93" w:rsidRDefault="00496F93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96F93" w:rsidTr="001F1FAC">
        <w:tc>
          <w:tcPr>
            <w:tcW w:w="10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6F93" w:rsidRDefault="00A47D62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  <w:r w:rsidR="00A2218F">
              <w:rPr>
                <w:rFonts w:ascii="Times New Roman" w:hAnsi="Times New Roman"/>
                <w:sz w:val="24"/>
                <w:szCs w:val="24"/>
                <w:lang w:val="hu-HU"/>
              </w:rPr>
              <w:tab/>
            </w:r>
          </w:p>
          <w:p w:rsidR="00496F93" w:rsidRDefault="00496F93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F3551" w:rsidRPr="003F3551" w:rsidRDefault="003F3551" w:rsidP="003F3551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</w:t>
            </w:r>
            <w:proofErr w:type="spell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módszertana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.ELTE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hyperlink r:id="rId6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496F93" w:rsidRPr="003F3551" w:rsidRDefault="00A2218F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7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496F93" w:rsidRPr="003F3551" w:rsidRDefault="00A2218F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3F3551" w:rsidRDefault="003F3551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FD24E4" w:rsidRPr="003F3551" w:rsidRDefault="00FD24E4" w:rsidP="00FD24E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Style w:val="st"/>
                <w:rFonts w:ascii="Times New Roman" w:hAnsi="Times New Roman" w:cs="Times New Roman"/>
              </w:rPr>
              <w:t xml:space="preserve">Riedel Miklós, Rózsahegyi Márta, Szalay Luca,  Wajand Judit,  </w:t>
            </w:r>
            <w:r>
              <w:rPr>
                <w:rStyle w:val="st"/>
                <w:rFonts w:ascii="Times New Roman" w:hAnsi="Times New Roman" w:cs="Times New Roman"/>
              </w:rPr>
              <w:t>(2016</w:t>
            </w:r>
            <w:r w:rsidRPr="003F3551">
              <w:rPr>
                <w:rStyle w:val="st"/>
                <w:rFonts w:ascii="Times New Roman" w:hAnsi="Times New Roman" w:cs="Times New Roman"/>
              </w:rPr>
              <w:t xml:space="preserve">) </w:t>
            </w:r>
            <w:r w:rsidRPr="003F3551">
              <w:rPr>
                <w:rStyle w:val="Kiemels"/>
                <w:rFonts w:ascii="Times New Roman" w:hAnsi="Times New Roman" w:cs="Times New Roman"/>
              </w:rPr>
              <w:t xml:space="preserve">Kémiai kísérletek </w:t>
            </w:r>
            <w:r w:rsidRPr="00A215C9">
              <w:rPr>
                <w:rStyle w:val="st"/>
                <w:rFonts w:ascii="Times New Roman" w:hAnsi="Times New Roman" w:cs="Times New Roman"/>
                <w:i/>
              </w:rPr>
              <w:t>az általános iskolákban</w:t>
            </w:r>
            <w:r w:rsidRPr="003F3551">
              <w:rPr>
                <w:rStyle w:val="st"/>
                <w:rFonts w:ascii="Times New Roman" w:hAnsi="Times New Roman" w:cs="Times New Roman"/>
              </w:rPr>
              <w:t xml:space="preserve">. </w:t>
            </w:r>
            <w:r>
              <w:rPr>
                <w:rStyle w:val="st"/>
                <w:rFonts w:ascii="Times New Roman" w:hAnsi="Times New Roman" w:cs="Times New Roman"/>
              </w:rPr>
              <w:t>Egyetemi jegyzet. ELTE</w:t>
            </w:r>
          </w:p>
          <w:p w:rsidR="004B2134" w:rsidRPr="004B2134" w:rsidRDefault="00A47D62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</w:p>
          <w:p w:rsidR="004B2134" w:rsidRPr="003F3551" w:rsidRDefault="004B2134" w:rsidP="004B2134">
            <w:pPr>
              <w:autoSpaceDE w:val="0"/>
              <w:spacing w:after="0"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96F93" w:rsidRDefault="00496F93" w:rsidP="001A7770">
            <w:pPr>
              <w:autoSpaceDE w:val="0"/>
              <w:spacing w:after="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C3293" w:rsidRDefault="00A2218F" w:rsidP="004C32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9. </w:t>
      </w:r>
      <w:r w:rsidR="004C3293"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496F93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93" w:rsidRPr="0036263C" w:rsidRDefault="004C3293" w:rsidP="004C3293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disciplinei corespunde informațiilor clasificate ca relevante de reprezentanții naționali și internaționali ai științei educație: teoria curriculumului, teoria educației, metodica predării chimiei. </w:t>
            </w:r>
          </w:p>
          <w:p w:rsidR="004C3293" w:rsidRPr="0036263C" w:rsidRDefault="004C3293" w:rsidP="004C3293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93" w:rsidRPr="0036263C" w:rsidRDefault="004C3293" w:rsidP="004C3293">
            <w:pPr>
              <w:pStyle w:val="HTML-kntformzot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Contribuie eficient la dezvoltarea competențelor de bază și competețelor transversale necesare pentru formarea cadrelor didactice.</w:t>
            </w:r>
          </w:p>
          <w:p w:rsidR="00496F93" w:rsidRDefault="00496F93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6F93" w:rsidRDefault="0049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 w:rsidR="004C3293"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4671"/>
        <w:gridCol w:w="1449"/>
        <w:gridCol w:w="2191"/>
      </w:tblGrid>
      <w:tr w:rsidR="004C3293" w:rsidTr="00BA5845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activitate</w:t>
            </w:r>
            <w:proofErr w:type="spellEnd"/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C3293" w:rsidRDefault="004C3293" w:rsidP="00BA5845">
            <w:pPr>
              <w:snapToGrid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Pondere din nota finală </w:t>
            </w:r>
          </w:p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C3293" w:rsidTr="00BA5845">
        <w:trPr>
          <w:trHeight w:val="13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293" w:rsidRDefault="004C3293" w:rsidP="00BA5845">
            <w:pPr>
              <w:snapToGrid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C3293" w:rsidRPr="00780F6B" w:rsidRDefault="004C3293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Performanță în timpul practicii pedagogice</w:t>
            </w:r>
          </w:p>
          <w:p w:rsidR="004C3293" w:rsidRDefault="004C3293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293" w:rsidRPr="00780F6B" w:rsidRDefault="004C3293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293" w:rsidRPr="00780F6B" w:rsidRDefault="004C3293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portofoliului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prezentat și în cadrul unui colocviu.</w:t>
            </w:r>
          </w:p>
          <w:p w:rsidR="004C3293" w:rsidRDefault="004C3293" w:rsidP="00BA5845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4C3293" w:rsidRPr="00D06BF8" w:rsidRDefault="004C3293" w:rsidP="00BA584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LISTA activităților(semnată de mentor)</w:t>
            </w:r>
          </w:p>
          <w:p w:rsidR="004C3293" w:rsidRPr="00D06BF8" w:rsidRDefault="004C3293" w:rsidP="00BA5845">
            <w:pPr>
              <w:pStyle w:val="HTML-kntformzott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293" w:rsidRDefault="004C3293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Jurnal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naliza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critică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propuneri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alternative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scenarii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concurente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situațiile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educaționale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  <w:p w:rsidR="004C3293" w:rsidRPr="00D06BF8" w:rsidRDefault="004C3293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Proiecte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/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secvențe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autoevaluare</w:t>
            </w:r>
            <w:proofErr w:type="spellEnd"/>
          </w:p>
          <w:p w:rsidR="004C3293" w:rsidRPr="00D06BF8" w:rsidRDefault="004C3293" w:rsidP="00BA58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Planuri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reflectări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asupra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studentul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participat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în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timpul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practicii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pedagogice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pregătire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experimente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evenimente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școala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altfel</w:t>
            </w:r>
            <w:proofErr w:type="spellEnd"/>
            <w:proofErr w:type="gram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programe</w:t>
            </w:r>
            <w:proofErr w:type="spellEnd"/>
            <w:proofErr w:type="gram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extracuriculare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)</w:t>
            </w:r>
          </w:p>
          <w:p w:rsidR="004C3293" w:rsidRDefault="004C3293" w:rsidP="00BA5845">
            <w:pPr>
              <w:pStyle w:val="Listaszerbekezds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3293" w:rsidRPr="00232439" w:rsidRDefault="004C3293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</w:rPr>
              <w:t>Criterii de calitate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</w:t>
            </w:r>
            <w:r w:rsidRPr="00D06BF8">
              <w:t>editare, ortografie, imagini, descrieri</w:t>
            </w:r>
            <w:r>
              <w:t>, prezentare,</w:t>
            </w:r>
            <w:r w:rsidRPr="00D06BF8">
              <w:t xml:space="preserve"> etc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>.)</w:t>
            </w:r>
          </w:p>
          <w:p w:rsidR="004C3293" w:rsidRDefault="004C3293" w:rsidP="004C32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293" w:rsidRPr="000D0475" w:rsidRDefault="004C3293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 continuă, evaluare sumativă, autoevaluare</w:t>
            </w:r>
          </w:p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93" w:rsidRPr="00D06BF8" w:rsidRDefault="004C3293" w:rsidP="00BA58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100%</w:t>
            </w:r>
          </w:p>
          <w:p w:rsidR="004C3293" w:rsidRDefault="004C3293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10%</w:t>
            </w: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30%</w:t>
            </w: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25%</w:t>
            </w: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15%</w:t>
            </w: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C3293" w:rsidRDefault="004C3293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20%</w:t>
            </w:r>
          </w:p>
        </w:tc>
      </w:tr>
      <w:tr w:rsidR="004C3293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293" w:rsidRDefault="004C3293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4C3293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293" w:rsidRPr="000D0475" w:rsidRDefault="004C3293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C3293" w:rsidRPr="000D0475" w:rsidRDefault="004C3293" w:rsidP="00BA584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Proiectele de lecții/secvențe de lecții, planurile de activitate jurnalul de observație să fie corecte metodologic și științific.</w:t>
            </w:r>
          </w:p>
          <w:p w:rsidR="004C3293" w:rsidRPr="000D0475" w:rsidRDefault="004C3293" w:rsidP="00BA5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C3293" w:rsidRPr="000D0475" w:rsidRDefault="004C3293" w:rsidP="00BA584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consulte mentorii și să colaboreze în problemele de educație și de formare.</w:t>
            </w:r>
          </w:p>
          <w:p w:rsidR="004C3293" w:rsidRPr="000D0475" w:rsidRDefault="004C3293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4C3293" w:rsidRPr="000D0475" w:rsidRDefault="004C3293" w:rsidP="00BA5845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fie eficient în managementului clasei, în procesul de predare-învățare.</w:t>
            </w:r>
          </w:p>
          <w:p w:rsidR="004C3293" w:rsidRDefault="004C3293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C3293" w:rsidRDefault="004C3293" w:rsidP="004C329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4C3293" w:rsidRDefault="004C3293" w:rsidP="004C3293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293" w:rsidRDefault="004C3293" w:rsidP="004C3293">
      <w:pPr>
        <w:ind w:left="6372" w:firstLine="708"/>
        <w:rPr>
          <w:rFonts w:ascii="Times New Roman" w:hAnsi="Times New Roman"/>
          <w:sz w:val="24"/>
          <w:szCs w:val="24"/>
        </w:rPr>
      </w:pPr>
    </w:p>
    <w:p w:rsidR="004C3293" w:rsidRDefault="004C3293" w:rsidP="004C329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4C3293" w:rsidRDefault="004C3293" w:rsidP="004C3293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A2218F" w:rsidRDefault="00A2218F" w:rsidP="004C3293">
      <w:pPr>
        <w:spacing w:line="240" w:lineRule="auto"/>
        <w:ind w:firstLine="708"/>
      </w:pPr>
    </w:p>
    <w:sectPr w:rsidR="00A2218F" w:rsidSect="00496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BE1E048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 w:numId="15">
    <w:abstractNumId w:val="9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02751E"/>
    <w:rsid w:val="00106330"/>
    <w:rsid w:val="00113EF1"/>
    <w:rsid w:val="001A7770"/>
    <w:rsid w:val="001F1FAC"/>
    <w:rsid w:val="00242BCD"/>
    <w:rsid w:val="00254293"/>
    <w:rsid w:val="00315897"/>
    <w:rsid w:val="00317B50"/>
    <w:rsid w:val="003367CE"/>
    <w:rsid w:val="003F3551"/>
    <w:rsid w:val="00496F93"/>
    <w:rsid w:val="004B2134"/>
    <w:rsid w:val="004C3293"/>
    <w:rsid w:val="004E43DB"/>
    <w:rsid w:val="00516A7F"/>
    <w:rsid w:val="005224D9"/>
    <w:rsid w:val="0058256E"/>
    <w:rsid w:val="00601099"/>
    <w:rsid w:val="00605AB8"/>
    <w:rsid w:val="00663D4E"/>
    <w:rsid w:val="00722072"/>
    <w:rsid w:val="007671FD"/>
    <w:rsid w:val="007A6687"/>
    <w:rsid w:val="007B1529"/>
    <w:rsid w:val="007B7014"/>
    <w:rsid w:val="00915875"/>
    <w:rsid w:val="009D2B90"/>
    <w:rsid w:val="009F4262"/>
    <w:rsid w:val="00A215C9"/>
    <w:rsid w:val="00A2218F"/>
    <w:rsid w:val="00A224BA"/>
    <w:rsid w:val="00A316C2"/>
    <w:rsid w:val="00A47D62"/>
    <w:rsid w:val="00B000E5"/>
    <w:rsid w:val="00B139BC"/>
    <w:rsid w:val="00B147A5"/>
    <w:rsid w:val="00B14B66"/>
    <w:rsid w:val="00C408EF"/>
    <w:rsid w:val="00CA49D2"/>
    <w:rsid w:val="00D97DF4"/>
    <w:rsid w:val="00DF1F8A"/>
    <w:rsid w:val="00E7755B"/>
    <w:rsid w:val="00ED2A97"/>
    <w:rsid w:val="00F4660C"/>
    <w:rsid w:val="00F96898"/>
    <w:rsid w:val="00FD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6F93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qFormat/>
    <w:rsid w:val="00496F93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96F93"/>
    <w:rPr>
      <w:rFonts w:cs="Times New Roman"/>
    </w:rPr>
  </w:style>
  <w:style w:type="character" w:customStyle="1" w:styleId="WW8Num2z0">
    <w:name w:val="WW8Num2z0"/>
    <w:rsid w:val="00496F93"/>
    <w:rPr>
      <w:rFonts w:ascii="Symbol" w:hAnsi="Symbol"/>
    </w:rPr>
  </w:style>
  <w:style w:type="character" w:customStyle="1" w:styleId="WW8Num2z1">
    <w:name w:val="WW8Num2z1"/>
    <w:rsid w:val="00496F93"/>
    <w:rPr>
      <w:rFonts w:ascii="Courier New" w:hAnsi="Courier New"/>
    </w:rPr>
  </w:style>
  <w:style w:type="character" w:customStyle="1" w:styleId="WW8Num2z2">
    <w:name w:val="WW8Num2z2"/>
    <w:rsid w:val="00496F93"/>
    <w:rPr>
      <w:rFonts w:ascii="Wingdings" w:hAnsi="Wingdings"/>
    </w:rPr>
  </w:style>
  <w:style w:type="character" w:customStyle="1" w:styleId="WW8Num4z0">
    <w:name w:val="WW8Num4z0"/>
    <w:rsid w:val="00496F93"/>
    <w:rPr>
      <w:rFonts w:ascii="Symbol" w:hAnsi="Symbol"/>
    </w:rPr>
  </w:style>
  <w:style w:type="character" w:customStyle="1" w:styleId="WW8Num4z1">
    <w:name w:val="WW8Num4z1"/>
    <w:rsid w:val="00496F93"/>
    <w:rPr>
      <w:rFonts w:ascii="Courier New" w:hAnsi="Courier New"/>
    </w:rPr>
  </w:style>
  <w:style w:type="character" w:customStyle="1" w:styleId="WW8Num4z2">
    <w:name w:val="WW8Num4z2"/>
    <w:rsid w:val="00496F93"/>
    <w:rPr>
      <w:rFonts w:ascii="Wingdings" w:hAnsi="Wingdings"/>
    </w:rPr>
  </w:style>
  <w:style w:type="character" w:customStyle="1" w:styleId="WW8Num5z0">
    <w:name w:val="WW8Num5z0"/>
    <w:rsid w:val="00496F93"/>
    <w:rPr>
      <w:rFonts w:ascii="Symbol" w:hAnsi="Symbol"/>
    </w:rPr>
  </w:style>
  <w:style w:type="character" w:customStyle="1" w:styleId="WW8Num5z1">
    <w:name w:val="WW8Num5z1"/>
    <w:rsid w:val="00496F93"/>
    <w:rPr>
      <w:rFonts w:ascii="Courier New" w:hAnsi="Courier New" w:cs="Courier New"/>
    </w:rPr>
  </w:style>
  <w:style w:type="character" w:customStyle="1" w:styleId="WW8Num5z2">
    <w:name w:val="WW8Num5z2"/>
    <w:rsid w:val="00496F93"/>
    <w:rPr>
      <w:rFonts w:ascii="Wingdings" w:hAnsi="Wingdings"/>
    </w:rPr>
  </w:style>
  <w:style w:type="character" w:customStyle="1" w:styleId="WW8Num6z0">
    <w:name w:val="WW8Num6z0"/>
    <w:rsid w:val="00496F93"/>
    <w:rPr>
      <w:rFonts w:ascii="Symbol" w:hAnsi="Symbol"/>
    </w:rPr>
  </w:style>
  <w:style w:type="character" w:customStyle="1" w:styleId="WW8Num6z1">
    <w:name w:val="WW8Num6z1"/>
    <w:rsid w:val="00496F93"/>
    <w:rPr>
      <w:rFonts w:ascii="Courier New" w:hAnsi="Courier New" w:cs="Courier New"/>
    </w:rPr>
  </w:style>
  <w:style w:type="character" w:customStyle="1" w:styleId="WW8Num6z2">
    <w:name w:val="WW8Num6z2"/>
    <w:rsid w:val="00496F93"/>
    <w:rPr>
      <w:rFonts w:ascii="Wingdings" w:hAnsi="Wingdings"/>
    </w:rPr>
  </w:style>
  <w:style w:type="character" w:customStyle="1" w:styleId="WW8Num7z0">
    <w:name w:val="WW8Num7z0"/>
    <w:rsid w:val="00496F93"/>
    <w:rPr>
      <w:rFonts w:ascii="Symbol" w:hAnsi="Symbol"/>
    </w:rPr>
  </w:style>
  <w:style w:type="character" w:customStyle="1" w:styleId="WW8Num7z1">
    <w:name w:val="WW8Num7z1"/>
    <w:rsid w:val="00496F93"/>
    <w:rPr>
      <w:rFonts w:ascii="Courier New" w:hAnsi="Courier New" w:cs="Courier New"/>
    </w:rPr>
  </w:style>
  <w:style w:type="character" w:customStyle="1" w:styleId="WW8Num7z2">
    <w:name w:val="WW8Num7z2"/>
    <w:rsid w:val="00496F93"/>
    <w:rPr>
      <w:rFonts w:ascii="Wingdings" w:hAnsi="Wingdings"/>
    </w:rPr>
  </w:style>
  <w:style w:type="character" w:customStyle="1" w:styleId="WW8Num11z0">
    <w:name w:val="WW8Num11z0"/>
    <w:rsid w:val="00496F93"/>
    <w:rPr>
      <w:rFonts w:ascii="Symbol" w:hAnsi="Symbol"/>
    </w:rPr>
  </w:style>
  <w:style w:type="character" w:customStyle="1" w:styleId="WW8Num11z1">
    <w:name w:val="WW8Num11z1"/>
    <w:rsid w:val="00496F93"/>
    <w:rPr>
      <w:rFonts w:ascii="Courier New" w:hAnsi="Courier New" w:cs="Courier New"/>
    </w:rPr>
  </w:style>
  <w:style w:type="character" w:customStyle="1" w:styleId="WW8Num11z2">
    <w:name w:val="WW8Num11z2"/>
    <w:rsid w:val="00496F93"/>
    <w:rPr>
      <w:rFonts w:ascii="Wingdings" w:hAnsi="Wingdings"/>
    </w:rPr>
  </w:style>
  <w:style w:type="character" w:customStyle="1" w:styleId="WW8Num14z0">
    <w:name w:val="WW8Num14z0"/>
    <w:rsid w:val="00496F93"/>
    <w:rPr>
      <w:rFonts w:ascii="Symbol" w:hAnsi="Symbol"/>
    </w:rPr>
  </w:style>
  <w:style w:type="character" w:customStyle="1" w:styleId="WW8Num14z1">
    <w:name w:val="WW8Num14z1"/>
    <w:rsid w:val="00496F93"/>
    <w:rPr>
      <w:rFonts w:ascii="Courier New" w:hAnsi="Courier New" w:cs="Courier New"/>
    </w:rPr>
  </w:style>
  <w:style w:type="character" w:customStyle="1" w:styleId="WW8Num14z2">
    <w:name w:val="WW8Num14z2"/>
    <w:rsid w:val="00496F93"/>
    <w:rPr>
      <w:rFonts w:ascii="Wingdings" w:hAnsi="Wingdings"/>
    </w:rPr>
  </w:style>
  <w:style w:type="character" w:customStyle="1" w:styleId="WW8Num15z0">
    <w:name w:val="WW8Num15z0"/>
    <w:rsid w:val="00496F93"/>
    <w:rPr>
      <w:rFonts w:cs="Times New Roman"/>
    </w:rPr>
  </w:style>
  <w:style w:type="character" w:customStyle="1" w:styleId="WW8Num16z0">
    <w:name w:val="WW8Num16z0"/>
    <w:rsid w:val="00496F93"/>
    <w:rPr>
      <w:rFonts w:cs="Times New Roman"/>
    </w:rPr>
  </w:style>
  <w:style w:type="character" w:customStyle="1" w:styleId="WW8Num17z0">
    <w:name w:val="WW8Num17z0"/>
    <w:rsid w:val="00496F93"/>
    <w:rPr>
      <w:rFonts w:ascii="Symbol" w:hAnsi="Symbol"/>
    </w:rPr>
  </w:style>
  <w:style w:type="character" w:customStyle="1" w:styleId="WW8Num17z1">
    <w:name w:val="WW8Num17z1"/>
    <w:rsid w:val="00496F93"/>
    <w:rPr>
      <w:rFonts w:ascii="Courier New" w:hAnsi="Courier New" w:cs="Courier New"/>
    </w:rPr>
  </w:style>
  <w:style w:type="character" w:customStyle="1" w:styleId="WW8Num17z2">
    <w:name w:val="WW8Num17z2"/>
    <w:rsid w:val="00496F93"/>
    <w:rPr>
      <w:rFonts w:ascii="Wingdings" w:hAnsi="Wingdings"/>
    </w:rPr>
  </w:style>
  <w:style w:type="character" w:customStyle="1" w:styleId="WW8Num18z0">
    <w:name w:val="WW8Num18z0"/>
    <w:rsid w:val="00496F93"/>
    <w:rPr>
      <w:rFonts w:ascii="Symbol" w:hAnsi="Symbol"/>
    </w:rPr>
  </w:style>
  <w:style w:type="character" w:customStyle="1" w:styleId="WW8Num18z1">
    <w:name w:val="WW8Num18z1"/>
    <w:rsid w:val="00496F93"/>
    <w:rPr>
      <w:rFonts w:ascii="Courier New" w:hAnsi="Courier New"/>
    </w:rPr>
  </w:style>
  <w:style w:type="character" w:customStyle="1" w:styleId="WW8Num18z2">
    <w:name w:val="WW8Num18z2"/>
    <w:rsid w:val="00496F93"/>
    <w:rPr>
      <w:rFonts w:ascii="Wingdings" w:hAnsi="Wingdings"/>
    </w:rPr>
  </w:style>
  <w:style w:type="character" w:customStyle="1" w:styleId="WW8Num19z0">
    <w:name w:val="WW8Num19z0"/>
    <w:rsid w:val="00496F93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96F93"/>
    <w:rPr>
      <w:rFonts w:ascii="Courier New" w:hAnsi="Courier New" w:cs="Courier New"/>
    </w:rPr>
  </w:style>
  <w:style w:type="character" w:customStyle="1" w:styleId="WW8Num19z2">
    <w:name w:val="WW8Num19z2"/>
    <w:rsid w:val="00496F93"/>
    <w:rPr>
      <w:rFonts w:ascii="Wingdings" w:hAnsi="Wingdings"/>
    </w:rPr>
  </w:style>
  <w:style w:type="character" w:customStyle="1" w:styleId="WW8Num19z3">
    <w:name w:val="WW8Num19z3"/>
    <w:rsid w:val="00496F93"/>
    <w:rPr>
      <w:rFonts w:ascii="Symbol" w:hAnsi="Symbol"/>
    </w:rPr>
  </w:style>
  <w:style w:type="character" w:customStyle="1" w:styleId="WW8Num20z0">
    <w:name w:val="WW8Num20z0"/>
    <w:rsid w:val="00496F93"/>
    <w:rPr>
      <w:rFonts w:ascii="Arial" w:hAnsi="Arial"/>
    </w:rPr>
  </w:style>
  <w:style w:type="character" w:customStyle="1" w:styleId="WW8Num21z0">
    <w:name w:val="WW8Num21z0"/>
    <w:rsid w:val="00496F93"/>
    <w:rPr>
      <w:rFonts w:cs="Times New Roman"/>
    </w:rPr>
  </w:style>
  <w:style w:type="character" w:customStyle="1" w:styleId="WW8Num22z0">
    <w:name w:val="WW8Num22z0"/>
    <w:rsid w:val="00496F93"/>
    <w:rPr>
      <w:rFonts w:ascii="Symbol" w:hAnsi="Symbol"/>
    </w:rPr>
  </w:style>
  <w:style w:type="character" w:customStyle="1" w:styleId="WW8Num22z1">
    <w:name w:val="WW8Num22z1"/>
    <w:rsid w:val="00496F93"/>
    <w:rPr>
      <w:rFonts w:ascii="Courier New" w:hAnsi="Courier New"/>
    </w:rPr>
  </w:style>
  <w:style w:type="character" w:customStyle="1" w:styleId="WW8Num22z2">
    <w:name w:val="WW8Num22z2"/>
    <w:rsid w:val="00496F93"/>
    <w:rPr>
      <w:rFonts w:ascii="Wingdings" w:hAnsi="Wingdings"/>
    </w:rPr>
  </w:style>
  <w:style w:type="character" w:customStyle="1" w:styleId="WW8Num25z0">
    <w:name w:val="WW8Num25z0"/>
    <w:rsid w:val="00496F93"/>
    <w:rPr>
      <w:rFonts w:cs="Times New Roman"/>
    </w:rPr>
  </w:style>
  <w:style w:type="character" w:customStyle="1" w:styleId="WW8Num26z0">
    <w:name w:val="WW8Num26z0"/>
    <w:rsid w:val="00496F93"/>
    <w:rPr>
      <w:rFonts w:ascii="Symbol" w:hAnsi="Symbol"/>
    </w:rPr>
  </w:style>
  <w:style w:type="character" w:customStyle="1" w:styleId="WW8Num26z1">
    <w:name w:val="WW8Num26z1"/>
    <w:rsid w:val="00496F93"/>
    <w:rPr>
      <w:rFonts w:ascii="Courier New" w:hAnsi="Courier New" w:cs="Courier New"/>
    </w:rPr>
  </w:style>
  <w:style w:type="character" w:customStyle="1" w:styleId="WW8Num26z2">
    <w:name w:val="WW8Num26z2"/>
    <w:rsid w:val="00496F93"/>
    <w:rPr>
      <w:rFonts w:ascii="Wingdings" w:hAnsi="Wingdings"/>
    </w:rPr>
  </w:style>
  <w:style w:type="character" w:customStyle="1" w:styleId="WW8Num27z0">
    <w:name w:val="WW8Num27z0"/>
    <w:rsid w:val="00496F93"/>
    <w:rPr>
      <w:rFonts w:ascii="Symbol" w:hAnsi="Symbol"/>
    </w:rPr>
  </w:style>
  <w:style w:type="character" w:customStyle="1" w:styleId="WW8Num27z1">
    <w:name w:val="WW8Num27z1"/>
    <w:rsid w:val="00496F93"/>
    <w:rPr>
      <w:rFonts w:ascii="Courier New" w:hAnsi="Courier New"/>
    </w:rPr>
  </w:style>
  <w:style w:type="character" w:customStyle="1" w:styleId="WW8Num27z2">
    <w:name w:val="WW8Num27z2"/>
    <w:rsid w:val="00496F93"/>
    <w:rPr>
      <w:rFonts w:ascii="Wingdings" w:hAnsi="Wingdings"/>
    </w:rPr>
  </w:style>
  <w:style w:type="character" w:customStyle="1" w:styleId="WW8Num28z0">
    <w:name w:val="WW8Num28z0"/>
    <w:rsid w:val="00496F93"/>
    <w:rPr>
      <w:rFonts w:ascii="Arial" w:hAnsi="Arial"/>
    </w:rPr>
  </w:style>
  <w:style w:type="character" w:customStyle="1" w:styleId="WW8Num31z0">
    <w:name w:val="WW8Num31z0"/>
    <w:rsid w:val="00496F93"/>
    <w:rPr>
      <w:rFonts w:ascii="Arial" w:hAnsi="Arial"/>
    </w:rPr>
  </w:style>
  <w:style w:type="character" w:customStyle="1" w:styleId="Bekezdsalapbettpusa1">
    <w:name w:val="Bekezdés alapbetűtípusa1"/>
    <w:rsid w:val="00496F93"/>
  </w:style>
  <w:style w:type="character" w:customStyle="1" w:styleId="CharChar">
    <w:name w:val="Char Char"/>
    <w:rsid w:val="00496F93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496F93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496F93"/>
    <w:rPr>
      <w:b/>
      <w:bCs/>
      <w:color w:val="FF8C00"/>
    </w:rPr>
  </w:style>
  <w:style w:type="character" w:customStyle="1" w:styleId="HTML-idzet1">
    <w:name w:val="HTML-idézet1"/>
    <w:rsid w:val="00496F93"/>
    <w:rPr>
      <w:i w:val="0"/>
      <w:iCs w:val="0"/>
    </w:rPr>
  </w:style>
  <w:style w:type="character" w:customStyle="1" w:styleId="z3988">
    <w:name w:val="z3988"/>
    <w:basedOn w:val="Bekezdsalapbettpusa1"/>
    <w:rsid w:val="00496F93"/>
  </w:style>
  <w:style w:type="paragraph" w:customStyle="1" w:styleId="Cmsor">
    <w:name w:val="Címsor"/>
    <w:basedOn w:val="Norml"/>
    <w:next w:val="Szvegtrzs"/>
    <w:rsid w:val="00496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496F93"/>
    <w:pPr>
      <w:spacing w:after="120"/>
    </w:pPr>
  </w:style>
  <w:style w:type="paragraph" w:styleId="Lista">
    <w:name w:val="List"/>
    <w:basedOn w:val="Szvegtrzs"/>
    <w:rsid w:val="00496F93"/>
    <w:rPr>
      <w:rFonts w:cs="Mangal"/>
    </w:rPr>
  </w:style>
  <w:style w:type="paragraph" w:customStyle="1" w:styleId="Felirat">
    <w:name w:val="Felirat"/>
    <w:basedOn w:val="Norml"/>
    <w:rsid w:val="00496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496F93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496F93"/>
    <w:pPr>
      <w:ind w:left="720"/>
    </w:pPr>
  </w:style>
  <w:style w:type="paragraph" w:customStyle="1" w:styleId="Tblzattartalom">
    <w:name w:val="Táblázattartalom"/>
    <w:basedOn w:val="Norml"/>
    <w:rsid w:val="00496F93"/>
    <w:pPr>
      <w:suppressLineNumbers/>
    </w:pPr>
  </w:style>
  <w:style w:type="paragraph" w:customStyle="1" w:styleId="Tblzatfejlc">
    <w:name w:val="Táblázatfejléc"/>
    <w:basedOn w:val="Tblzattartalom"/>
    <w:rsid w:val="00496F9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96F93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Listaszerbekezds">
    <w:name w:val="List Paragraph"/>
    <w:basedOn w:val="Norml"/>
    <w:uiPriority w:val="34"/>
    <w:qFormat/>
    <w:rsid w:val="00B14B66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unhideWhenUsed/>
    <w:rsid w:val="00B14B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B14B66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mek.iif.hu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uskepzes.elte.hu/images/anyagok/i3/27_Kemiatanitas_modszertana_jegyzet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F7006C-CB05-45B8-A897-61CE78B0F7FF}"/>
</file>

<file path=customXml/itemProps2.xml><?xml version="1.0" encoding="utf-8"?>
<ds:datastoreItem xmlns:ds="http://schemas.openxmlformats.org/officeDocument/2006/customXml" ds:itemID="{0A509C8D-C7C8-4516-B46A-23C386EC0EE3}"/>
</file>

<file path=customXml/itemProps3.xml><?xml version="1.0" encoding="utf-8"?>
<ds:datastoreItem xmlns:ds="http://schemas.openxmlformats.org/officeDocument/2006/customXml" ds:itemID="{CB639D40-2097-43E9-85A7-0A1735BF9F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1256</Words>
  <Characters>8667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6</cp:revision>
  <cp:lastPrinted>2015-02-19T10:03:00Z</cp:lastPrinted>
  <dcterms:created xsi:type="dcterms:W3CDTF">2020-07-18T12:35:00Z</dcterms:created>
  <dcterms:modified xsi:type="dcterms:W3CDTF">2020-07-21T10:18:00Z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