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media/image2.png" ContentType="image/png"/>
  <Override PartName="/word/media/image3.png" ContentType="image/png"/>
  <Override PartName="/word/media/image4.png" ContentType="image/png"/>
  <Override PartName="/word/media/image5.png" ContentType="image/png"/>
  <Override PartName="/word/media/image6.png" ContentType="image/png"/>
  <Override PartName="/word/media/image7.png" ContentType="image/png"/>
  <Override PartName="/word/media/image8.png" ContentType="image/png"/>
  <Override PartName="/word/media/image9.png" ContentType="image/png"/>
  <Override PartName="/word/media/image10.png" ContentType="image/png"/>
  <Override PartName="/word/media/image11.png" ContentType="image/png"/>
  <Override PartName="/word/media/image12.png" ContentType="image/png"/>
  <Override PartName="/word/media/image13.png" ContentType="image/png"/>
  <Override PartName="/word/media/image14.png" ContentType="image/png"/>
  <Override PartName="/word/media/image15.png" ContentType="image/png"/>
  <Override PartName="/word/media/image16.png" ContentType="image/png"/>
  <Override PartName="/word/media/image17.png" ContentType="image/png"/>
  <Override PartName="/word/media/image18.png" ContentType="image/png"/>
  <Override PartName="/word/media/image19.png" ContentType="image/png"/>
  <Override PartName="/word/media/image20.png" ContentType="image/png"/>
  <Override PartName="/word/footnotes.xml" ContentType="application/vnd.openxmlformats-officedocument.wordprocessingml.footnotes+xml"/>
  <Override PartName="/word/activeX/activeX9.xml" ContentType="application/vnd.ms-office.activeX+xml"/>
  <Override PartName="/word/activeX/activeX1.bin" ContentType="application/vnd.ms-office.activeX"/>
  <Override PartName="/word/activeX/activeX1.xml" ContentType="application/vnd.ms-office.activeX+xml"/>
  <Override PartName="/word/activeX/activeX2.bin" ContentType="application/vnd.ms-office.activeX"/>
  <Override PartName="/word/activeX/activeX2.xml" ContentType="application/vnd.ms-office.activeX+xml"/>
  <Override PartName="/word/activeX/activeX3.bin" ContentType="application/vnd.ms-office.activeX"/>
  <Override PartName="/word/activeX/activeX3.xml" ContentType="application/vnd.ms-office.activeX+xml"/>
  <Override PartName="/word/activeX/activeX4.xml" ContentType="application/vnd.ms-office.activeX+xml"/>
  <Override PartName="/word/activeX/activeX4.bin" ContentType="application/vnd.ms-office.activeX"/>
  <Override PartName="/word/activeX/activeX5.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_rels/activeX1.xml.rels" ContentType="application/vnd.openxmlformats-package.relationships+xml"/>
  <Override PartName="/word/activeX/_rels/activeX9.xml.rels" ContentType="application/vnd.openxmlformats-package.relationships+xml"/>
  <Override PartName="/word/activeX/_rels/activeX2.xml.rels" ContentType="application/vnd.openxmlformats-package.relationships+xml"/>
  <Override PartName="/word/activeX/_rels/activeX3.xml.rels" ContentType="application/vnd.openxmlformats-package.relationships+xml"/>
  <Override PartName="/word/activeX/_rels/activeX4.xml.rels" ContentType="application/vnd.openxmlformats-package.relationships+xml"/>
  <Override PartName="/word/activeX/_rels/activeX5.xml.rels" ContentType="application/vnd.openxmlformats-package.relationships+xml"/>
  <Override PartName="/word/activeX/_rels/activeX6.xml.rels" ContentType="application/vnd.openxmlformats-package.relationships+xml"/>
  <Override PartName="/word/activeX/_rels/activeX7.xml.rels" ContentType="application/vnd.openxmlformats-package.relationships+xml"/>
  <Override PartName="/word/activeX/_rels/activeX8.xml.rels" ContentType="application/vnd.openxmlformats-package.relationships+xml"/>
  <Override PartName="/word/activeX/_rels/activeX18.xml.rels" ContentType="application/vnd.openxmlformats-package.relationships+xml"/>
  <Override PartName="/word/activeX/_rels/activeX10.xml.rels" ContentType="application/vnd.openxmlformats-package.relationships+xml"/>
  <Override PartName="/word/activeX/_rels/activeX19.xml.rels" ContentType="application/vnd.openxmlformats-package.relationships+xml"/>
  <Override PartName="/word/activeX/_rels/activeX11.xml.rels" ContentType="application/vnd.openxmlformats-package.relationships+xml"/>
  <Override PartName="/word/activeX/_rels/activeX12.xml.rels" ContentType="application/vnd.openxmlformats-package.relationships+xml"/>
  <Override PartName="/word/activeX/_rels/activeX13.xml.rels" ContentType="application/vnd.openxmlformats-package.relationships+xml"/>
  <Override PartName="/word/activeX/_rels/activeX14.xml.rels" ContentType="application/vnd.openxmlformats-package.relationships+xml"/>
  <Override PartName="/word/activeX/_rels/activeX15.xml.rels" ContentType="application/vnd.openxmlformats-package.relationships+xml"/>
  <Override PartName="/word/activeX/_rels/activeX16.xml.rels" ContentType="application/vnd.openxmlformats-package.relationships+xml"/>
  <Override PartName="/word/activeX/_rels/activeX17.xml.rels" ContentType="application/vnd.openxmlformats-package.relationships+xml"/>
  <Override PartName="/word/activeX/activeX7.bin" ContentType="application/vnd.ms-office.activeX"/>
  <Override PartName="/word/activeX/activeX7.xml" ContentType="application/vnd.ms-office.activeX+xml"/>
  <Override PartName="/word/activeX/activeX8.bin" ContentType="application/vnd.ms-office.activeX"/>
  <Override PartName="/word/activeX/activeX8.xml" ContentType="application/vnd.ms-office.activeX+xml"/>
  <Override PartName="/word/activeX/activeX9.bin" ContentType="application/vnd.ms-office.activeX"/>
  <Override PartName="/word/activeX/activeX10.bin" ContentType="application/vnd.ms-office.activeX"/>
  <Override PartName="/word/activeX/activeX18.xml" ContentType="application/vnd.ms-office.activeX+xml"/>
  <Override PartName="/word/activeX/activeX10.xml" ContentType="application/vnd.ms-office.activeX+xml"/>
  <Override PartName="/word/activeX/activeX11.bin" ContentType="application/vnd.ms-office.activeX"/>
  <Override PartName="/word/activeX/activeX19.xml" ContentType="application/vnd.ms-office.activeX+xml"/>
  <Override PartName="/word/activeX/activeX11.xml" ContentType="application/vnd.ms-office.activeX+xml"/>
  <Override PartName="/word/activeX/activeX12.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15.bin" ContentType="application/vnd.ms-office.activeX"/>
  <Override PartName="/word/activeX/activeX15.xml" ContentType="application/vnd.ms-office.activeX+xml"/>
  <Override PartName="/word/activeX/activeX16.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8.bin" ContentType="application/vnd.ms-office.activeX"/>
  <Override PartName="/word/activeX/activeX19.bin" ContentType="application/vnd.ms-office.activeX"/>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glossary/_rels/document.xml.rels" ContentType="application/vnd.openxmlformats-package.relationships+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tyles.xml" ContentType="application/vnd.openxmlformats-officedocument.wordprocessingml.styles+xml"/>
  <Override PartName="/word/glossary/settings.xml" ContentType="application/vnd.openxmlformats-officedocument.wordprocessingml.settings+xml"/>
  <Override PartName="/word/glossary/fontTable.xml" ContentType="application/vnd.openxmlformats-officedocument.wordprocessingml.fontTabl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Cambria" w:hAnsi="Cambria"/>
          <w:b/>
          <w:bCs/>
        </w:rPr>
      </w:pPr>
      <w:r>
        <w:rPr>
          <w:rFonts w:ascii="Cambria" w:hAnsi="Cambria"/>
          <w:b/>
          <w:bCs/>
        </w:rPr>
        <w:t>FIŞA DISCIPLINEI</w:t>
      </w:r>
    </w:p>
    <w:p>
      <w:pPr>
        <w:pStyle w:val="Normal"/>
        <w:widowControl/>
        <w:spacing w:lineRule="auto" w:line="276" w:before="0" w:after="160"/>
        <w:jc w:val="center"/>
        <w:rPr>
          <w:color w:val="000000"/>
        </w:rPr>
      </w:pPr>
      <w:r>
        <w:rPr>
          <w:rFonts w:eastAsia="Aptos" w:cs="Times New Roman" w:ascii="Cambria" w:hAnsi="Cambria"/>
          <w:i/>
          <w:iCs/>
          <w:color w:val="000000"/>
          <w:sz w:val="24"/>
          <w:szCs w:val="24"/>
          <w:lang w:val="ro-RO"/>
        </w:rPr>
        <w:t>Matematici generale</w:t>
      </w:r>
    </w:p>
    <w:p>
      <w:pPr>
        <w:pStyle w:val="Normal"/>
        <w:jc w:val="center"/>
        <w:rPr>
          <w:rFonts w:ascii="Cambria" w:hAnsi="Cambria"/>
        </w:rPr>
      </w:pPr>
      <w:r>
        <w:rPr>
          <w:rFonts w:ascii="Cambria" w:hAnsi="Cambria"/>
        </w:rPr>
        <w:t xml:space="preserve">Anul universitar </w:t>
      </w:r>
      <w:r>
        <w:rPr>
          <w:rFonts w:eastAsia="Aptos" w:cs="Times New Roman" w:ascii="Cambria" w:hAnsi="Cambria"/>
          <w:color w:val="000000"/>
          <w:sz w:val="24"/>
          <w:szCs w:val="24"/>
          <w:lang w:val="ro-RO"/>
        </w:rPr>
        <w:t>2026-2027</w:t>
      </w:r>
    </w:p>
    <w:p>
      <w:pPr>
        <w:pStyle w:val="Normal"/>
        <w:rPr>
          <w:rFonts w:ascii="Cambria" w:hAnsi="Cambria"/>
          <w:color w:val="FF0000"/>
          <w:sz w:val="20"/>
          <w:szCs w:val="20"/>
        </w:rPr>
      </w:pPr>
      <w:r>
        <w:rPr>
          <w:rFonts w:ascii="Cambria" w:hAnsi="Cambria"/>
          <w:color w:val="FF0000"/>
          <w:sz w:val="20"/>
          <w:szCs w:val="20"/>
        </w:rPr>
      </w:r>
    </w:p>
    <w:p>
      <w:pPr>
        <w:pStyle w:val="Normal"/>
        <w:spacing w:before="0" w:after="0"/>
        <w:ind w:hanging="567" w:left="142"/>
        <w:rPr>
          <w:rFonts w:ascii="Cambria" w:hAnsi="Cambria"/>
          <w:b/>
          <w:sz w:val="20"/>
          <w:szCs w:val="20"/>
        </w:rPr>
      </w:pPr>
      <w:r>
        <w:rPr>
          <w:rFonts w:ascii="Cambria" w:hAnsi="Cambria"/>
          <w:b/>
          <w:sz w:val="20"/>
          <w:szCs w:val="20"/>
        </w:rPr>
        <w:t>1. Date despre program</w:t>
      </w:r>
    </w:p>
    <w:tbl>
      <w:tblPr>
        <w:tblW w:w="10491" w:type="dxa"/>
        <w:jc w:val="left"/>
        <w:tblInd w:w="-431" w:type="dxa"/>
        <w:tblLayout w:type="fixed"/>
        <w:tblCellMar>
          <w:top w:w="0" w:type="dxa"/>
          <w:left w:w="108" w:type="dxa"/>
          <w:bottom w:w="0" w:type="dxa"/>
          <w:right w:w="108" w:type="dxa"/>
        </w:tblCellMar>
        <w:tblLook w:firstRow="0" w:noVBand="0" w:lastRow="0" w:firstColumn="0" w:lastColumn="0" w:noHBand="0" w:val="0000"/>
      </w:tblPr>
      <w:tblGrid>
        <w:gridCol w:w="3403"/>
        <w:gridCol w:w="7087"/>
      </w:tblGrid>
      <w:tr>
        <w:trPr>
          <w:trHeight w:val="284" w:hRule="atLeast"/>
        </w:trPr>
        <w:tc>
          <w:tcPr>
            <w:tcW w:w="3403"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34" w:right="-625"/>
              <w:outlineLvl w:val="0"/>
              <w:rPr/>
            </w:pPr>
            <w:r>
              <w:rPr>
                <w:rFonts w:eastAsia="Times New Roman" w:cs="Times New Roman" w:ascii="Cambria" w:hAnsi="Cambria"/>
                <w:kern w:val="0"/>
                <w:sz w:val="20"/>
                <w:szCs w:val="22"/>
                <w:lang w:eastAsia="zh-CN"/>
              </w:rPr>
              <w:t>1.1. Instituția de învățământ superior</w:t>
            </w:r>
          </w:p>
        </w:tc>
        <w:tc>
          <w:tcPr>
            <w:tcW w:w="7087"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90" w:right="-625"/>
              <w:jc w:val="left"/>
              <w:outlineLvl w:val="0"/>
              <w:rPr>
                <w:rFonts w:ascii="Cambria" w:hAnsi="Cambria" w:eastAsia="Times New Roman" w:cs="Times New Roman"/>
                <w:kern w:val="0"/>
                <w:sz w:val="20"/>
                <w:szCs w:val="22"/>
                <w:lang w:eastAsia="zh-CN"/>
              </w:rPr>
            </w:pPr>
            <w:r>
              <w:rPr>
                <w:rFonts w:eastAsia="Times New Roman" w:cs="Times New Roman" w:ascii="Cambria" w:hAnsi="Cambria"/>
                <w:kern w:val="0"/>
                <w:sz w:val="20"/>
                <w:szCs w:val="22"/>
                <w:lang w:eastAsia="zh-CN"/>
              </w:rPr>
              <w:t>Universitatea Babeș-Bolyai din Cluj-Napoca</w:t>
            </w:r>
          </w:p>
        </w:tc>
      </w:tr>
      <w:tr>
        <w:trPr>
          <w:trHeight w:val="284" w:hRule="atLeast"/>
        </w:trPr>
        <w:tc>
          <w:tcPr>
            <w:tcW w:w="3403"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34"/>
              <w:outlineLvl w:val="4"/>
              <w:rPr>
                <w:rFonts w:ascii="Cambria" w:hAnsi="Cambria" w:eastAsia="Times New Roman" w:cs="Times New Roman"/>
                <w:kern w:val="0"/>
                <w:sz w:val="20"/>
                <w:szCs w:val="22"/>
                <w:lang w:eastAsia="zh-CN"/>
              </w:rPr>
            </w:pPr>
            <w:r>
              <w:rPr>
                <w:rFonts w:eastAsia="Times New Roman" w:cs="Times New Roman" w:ascii="Cambria" w:hAnsi="Cambria"/>
                <w:kern w:val="0"/>
                <w:sz w:val="20"/>
                <w:szCs w:val="22"/>
                <w:lang w:eastAsia="zh-CN"/>
              </w:rPr>
              <w:t>1.2. Facultatea</w:t>
            </w:r>
          </w:p>
        </w:tc>
        <w:tc>
          <w:tcPr>
            <w:tcW w:w="7087"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90" w:right="-625"/>
              <w:jc w:val="left"/>
              <w:outlineLvl w:val="0"/>
              <w:rPr>
                <w:rFonts w:ascii="Cambria" w:hAnsi="Cambria" w:eastAsia="Times New Roman" w:cs="Times New Roman"/>
                <w:kern w:val="0"/>
                <w:sz w:val="20"/>
                <w:szCs w:val="22"/>
                <w:lang w:eastAsia="zh-CN"/>
              </w:rPr>
            </w:pPr>
            <w:r>
              <w:rPr>
                <w:rFonts w:eastAsia="Times New Roman" w:cs="Times New Roman" w:ascii="Cambria" w:hAnsi="Cambria"/>
                <w:kern w:val="0"/>
                <w:sz w:val="20"/>
                <w:szCs w:val="22"/>
                <w:lang w:eastAsia="zh-CN"/>
              </w:rPr>
              <w:t>Chimie și Inginerie Chimică</w:t>
            </w:r>
          </w:p>
        </w:tc>
      </w:tr>
      <w:tr>
        <w:trPr>
          <w:trHeight w:val="284" w:hRule="atLeast"/>
        </w:trPr>
        <w:tc>
          <w:tcPr>
            <w:tcW w:w="3403"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34" w:right="-625"/>
              <w:outlineLvl w:val="0"/>
              <w:rPr>
                <w:rFonts w:ascii="Cambria" w:hAnsi="Cambria" w:eastAsia="Times New Roman" w:cs="Times New Roman"/>
                <w:kern w:val="0"/>
                <w:sz w:val="20"/>
                <w:szCs w:val="22"/>
                <w:lang w:eastAsia="zh-CN"/>
              </w:rPr>
            </w:pPr>
            <w:r>
              <w:rPr>
                <w:rFonts w:eastAsia="Times New Roman" w:cs="Times New Roman" w:ascii="Cambria" w:hAnsi="Cambria"/>
                <w:kern w:val="0"/>
                <w:sz w:val="20"/>
                <w:szCs w:val="22"/>
                <w:lang w:eastAsia="zh-CN"/>
              </w:rPr>
              <w:t>1.3. Departamentul</w:t>
            </w:r>
          </w:p>
        </w:tc>
        <w:tc>
          <w:tcPr>
            <w:tcW w:w="7087"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90" w:right="-625"/>
              <w:jc w:val="left"/>
              <w:outlineLvl w:val="0"/>
              <w:rPr>
                <w:rFonts w:ascii="Cambria" w:hAnsi="Cambria" w:eastAsia="Times New Roman" w:cs="Times New Roman"/>
                <w:kern w:val="0"/>
                <w:sz w:val="20"/>
                <w:szCs w:val="22"/>
                <w:lang w:eastAsia="zh-CN"/>
              </w:rPr>
            </w:pPr>
            <w:r>
              <w:rPr>
                <w:rFonts w:eastAsia="Times New Roman" w:cs="Times New Roman" w:ascii="Cambria" w:hAnsi="Cambria"/>
                <w:kern w:val="0"/>
                <w:sz w:val="20"/>
                <w:szCs w:val="22"/>
                <w:lang w:eastAsia="zh-CN"/>
              </w:rPr>
              <w:t>Matematică și Informatică al Liniei Maghiare</w:t>
            </w:r>
          </w:p>
        </w:tc>
      </w:tr>
      <w:tr>
        <w:trPr>
          <w:trHeight w:val="284" w:hRule="atLeast"/>
        </w:trPr>
        <w:tc>
          <w:tcPr>
            <w:tcW w:w="3403"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ind w:left="34"/>
              <w:rPr>
                <w:rFonts w:ascii="Cambria" w:hAnsi="Cambria" w:eastAsia="Times New Roman" w:cs="Times New Roman"/>
                <w:kern w:val="0"/>
                <w:sz w:val="20"/>
                <w:szCs w:val="22"/>
                <w:lang w:eastAsia="zh-CN"/>
              </w:rPr>
            </w:pPr>
            <w:r>
              <w:rPr>
                <w:rFonts w:eastAsia="Times New Roman" w:cs="Times New Roman" w:ascii="Cambria" w:hAnsi="Cambria"/>
                <w:kern w:val="0"/>
                <w:sz w:val="20"/>
                <w:szCs w:val="22"/>
                <w:lang w:eastAsia="zh-CN"/>
              </w:rPr>
              <w:t>1.4.</w:t>
            </w:r>
            <w:r>
              <w:rPr>
                <w:rFonts w:eastAsia="Times New Roman" w:cs="Times New Roman" w:ascii="Cambria" w:hAnsi="Cambria"/>
                <w:b/>
                <w:kern w:val="0"/>
                <w:sz w:val="20"/>
                <w:szCs w:val="22"/>
                <w:lang w:eastAsia="zh-CN"/>
              </w:rPr>
              <w:t xml:space="preserve"> </w:t>
            </w:r>
            <w:r>
              <w:rPr>
                <w:rFonts w:eastAsia="Times New Roman" w:cs="Times New Roman" w:ascii="Cambria" w:hAnsi="Cambria"/>
                <w:kern w:val="0"/>
                <w:sz w:val="20"/>
                <w:szCs w:val="22"/>
                <w:lang w:eastAsia="zh-CN"/>
              </w:rPr>
              <w:t>Domeniul de studii</w:t>
            </w:r>
          </w:p>
        </w:tc>
        <w:tc>
          <w:tcPr>
            <w:tcW w:w="7087"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90" w:right="-625"/>
              <w:jc w:val="left"/>
              <w:outlineLvl w:val="0"/>
              <w:rPr>
                <w:rFonts w:ascii="Cambria" w:hAnsi="Cambria" w:eastAsia="Times New Roman" w:cs="Times New Roman"/>
                <w:kern w:val="0"/>
                <w:sz w:val="20"/>
                <w:szCs w:val="22"/>
                <w:lang w:eastAsia="zh-CN"/>
              </w:rPr>
            </w:pPr>
            <w:r>
              <w:rPr>
                <w:rFonts w:eastAsia="Times New Roman" w:cs="Times New Roman" w:ascii="Cambria" w:hAnsi="Cambria"/>
                <w:kern w:val="0"/>
                <w:sz w:val="20"/>
                <w:szCs w:val="22"/>
                <w:lang w:eastAsia="zh-CN"/>
              </w:rPr>
              <w:t>Chimie</w:t>
            </w:r>
          </w:p>
        </w:tc>
      </w:tr>
      <w:tr>
        <w:trPr>
          <w:trHeight w:val="284" w:hRule="atLeast"/>
        </w:trPr>
        <w:tc>
          <w:tcPr>
            <w:tcW w:w="3403"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ind w:left="34"/>
              <w:rPr>
                <w:rFonts w:ascii="Cambria" w:hAnsi="Cambria" w:eastAsia="Times New Roman" w:cs="Times New Roman"/>
                <w:kern w:val="0"/>
                <w:sz w:val="20"/>
                <w:szCs w:val="22"/>
                <w:vertAlign w:val="superscript"/>
                <w:lang w:eastAsia="zh-CN"/>
              </w:rPr>
            </w:pPr>
            <w:r>
              <w:rPr>
                <w:rFonts w:eastAsia="Times New Roman" w:cs="Times New Roman" w:ascii="Cambria" w:hAnsi="Cambria"/>
                <w:kern w:val="0"/>
                <w:sz w:val="20"/>
                <w:szCs w:val="22"/>
                <w:lang w:eastAsia="zh-CN"/>
              </w:rPr>
              <w:t>1.5.</w:t>
            </w:r>
            <w:r>
              <w:rPr>
                <w:rFonts w:eastAsia="Times New Roman" w:cs="Times New Roman" w:ascii="Cambria" w:hAnsi="Cambria"/>
                <w:b/>
                <w:kern w:val="0"/>
                <w:sz w:val="20"/>
                <w:szCs w:val="22"/>
                <w:lang w:eastAsia="zh-CN"/>
              </w:rPr>
              <w:t xml:space="preserve"> </w:t>
            </w:r>
            <w:r>
              <w:rPr>
                <w:rFonts w:eastAsia="Times New Roman" w:cs="Times New Roman" w:ascii="Cambria" w:hAnsi="Cambria"/>
                <w:kern w:val="0"/>
                <w:sz w:val="20"/>
                <w:szCs w:val="22"/>
                <w:lang w:eastAsia="zh-CN"/>
              </w:rPr>
              <w:t>Ciclul de studii</w:t>
            </w:r>
          </w:p>
        </w:tc>
        <w:tc>
          <w:tcPr>
            <w:tcW w:w="7087"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90" w:right="-625"/>
              <w:jc w:val="left"/>
              <w:outlineLvl w:val="0"/>
              <w:rPr>
                <w:rFonts w:ascii="Cambria" w:hAnsi="Cambria" w:eastAsia="Times New Roman" w:cs="Times New Roman"/>
                <w:kern w:val="0"/>
                <w:sz w:val="20"/>
                <w:szCs w:val="22"/>
                <w:lang w:eastAsia="zh-CN"/>
              </w:rPr>
            </w:pPr>
            <w:r>
              <w:rPr>
                <w:rFonts w:eastAsia="Times New Roman" w:cs="Times New Roman" w:ascii="Cambria" w:hAnsi="Cambria"/>
                <w:kern w:val="0"/>
                <w:sz w:val="20"/>
                <w:szCs w:val="22"/>
                <w:lang w:eastAsia="zh-CN"/>
              </w:rPr>
              <w:t>Licență</w:t>
            </w:r>
          </w:p>
        </w:tc>
      </w:tr>
      <w:tr>
        <w:trPr>
          <w:trHeight w:val="284" w:hRule="atLeast"/>
        </w:trPr>
        <w:tc>
          <w:tcPr>
            <w:tcW w:w="3403"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34"/>
              <w:outlineLvl w:val="1"/>
              <w:rPr>
                <w:rFonts w:ascii="Cambria" w:hAnsi="Cambria" w:eastAsia="Times New Roman" w:cs="Times New Roman"/>
                <w:kern w:val="0"/>
                <w:sz w:val="20"/>
                <w:szCs w:val="22"/>
                <w:lang w:eastAsia="zh-CN"/>
              </w:rPr>
            </w:pPr>
            <w:r>
              <w:rPr>
                <w:rFonts w:eastAsia="Times New Roman" w:cs="Times New Roman" w:ascii="Cambria" w:hAnsi="Cambria"/>
                <w:kern w:val="0"/>
                <w:sz w:val="20"/>
                <w:szCs w:val="22"/>
                <w:lang w:eastAsia="zh-CN"/>
              </w:rPr>
              <w:t>1.6. Programul de studii / Calificarea</w:t>
            </w:r>
          </w:p>
        </w:tc>
        <w:tc>
          <w:tcPr>
            <w:tcW w:w="7087"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90" w:right="-625"/>
              <w:jc w:val="left"/>
              <w:outlineLvl w:val="0"/>
              <w:rPr>
                <w:rFonts w:ascii="Cambria" w:hAnsi="Cambria" w:eastAsia="Times New Roman" w:cs="Times New Roman"/>
                <w:kern w:val="0"/>
                <w:sz w:val="20"/>
                <w:szCs w:val="22"/>
                <w:lang w:eastAsia="zh-CN"/>
              </w:rPr>
            </w:pPr>
            <w:r>
              <w:rPr>
                <w:rFonts w:eastAsia="Times New Roman" w:cs="Times New Roman" w:ascii="Cambria" w:hAnsi="Cambria"/>
                <w:kern w:val="0"/>
                <w:sz w:val="20"/>
                <w:szCs w:val="22"/>
                <w:lang w:eastAsia="zh-CN"/>
              </w:rPr>
              <w:t xml:space="preserve">Chimie; </w:t>
            </w:r>
            <w:r>
              <w:rPr>
                <w:rFonts w:eastAsia="Times New Roman" w:cs="Times New Roman" w:ascii="Cambria" w:hAnsi="Cambria"/>
                <w:kern w:val="0"/>
                <w:sz w:val="20"/>
                <w:szCs w:val="22"/>
                <w:lang w:val="en-US" w:eastAsia="zh-CN"/>
              </w:rPr>
              <w:t>Ingineria substan</w:t>
            </w:r>
            <w:r>
              <w:rPr>
                <w:rFonts w:eastAsia="Times New Roman" w:cs="Times New Roman" w:ascii="Cambria" w:hAnsi="Cambria"/>
                <w:kern w:val="0"/>
                <w:sz w:val="20"/>
                <w:szCs w:val="22"/>
                <w:lang w:val="ro-RO" w:eastAsia="zh-CN"/>
              </w:rPr>
              <w:t>țelor organice; Petrochimie și Carbochimie</w:t>
            </w:r>
          </w:p>
        </w:tc>
      </w:tr>
      <w:tr>
        <w:trPr>
          <w:trHeight w:val="284" w:hRule="atLeast"/>
        </w:trPr>
        <w:tc>
          <w:tcPr>
            <w:tcW w:w="3403"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34"/>
              <w:outlineLvl w:val="1"/>
              <w:rPr>
                <w:rFonts w:ascii="Cambria" w:hAnsi="Cambria" w:eastAsia="Times New Roman" w:cs="Times New Roman"/>
                <w:kern w:val="0"/>
                <w:sz w:val="20"/>
                <w:szCs w:val="22"/>
                <w:lang w:eastAsia="zh-CN"/>
              </w:rPr>
            </w:pPr>
            <w:r>
              <w:rPr>
                <w:rFonts w:eastAsia="Times New Roman" w:cs="Times New Roman" w:ascii="Cambria" w:hAnsi="Cambria"/>
                <w:kern w:val="0"/>
                <w:sz w:val="20"/>
                <w:szCs w:val="22"/>
                <w:lang w:eastAsia="zh-CN"/>
              </w:rPr>
              <w:t>1.7. Forma de învățământ</w:t>
            </w:r>
          </w:p>
        </w:tc>
        <w:tc>
          <w:tcPr>
            <w:tcW w:w="7087"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0" w:right="-625"/>
              <w:jc w:val="left"/>
              <w:outlineLvl w:val="0"/>
              <w:rPr>
                <w:rFonts w:ascii="Cambria" w:hAnsi="Cambria" w:eastAsia="Times New Roman" w:cs="Times New Roman"/>
                <w:kern w:val="0"/>
                <w:sz w:val="20"/>
                <w:szCs w:val="22"/>
                <w:lang w:eastAsia="zh-CN"/>
              </w:rPr>
            </w:pPr>
            <w:r>
              <w:rPr>
                <w:rFonts w:eastAsia="Times New Roman" w:cs="Times New Roman" w:ascii="Cambria" w:hAnsi="Cambria"/>
                <w:kern w:val="0"/>
                <w:sz w:val="20"/>
                <w:szCs w:val="22"/>
                <w:lang w:eastAsia="zh-CN"/>
              </w:rPr>
              <w:t xml:space="preserve">  </w:t>
            </w:r>
            <w:r>
              <w:rPr>
                <w:rFonts w:eastAsia="Times New Roman" w:cs="Times New Roman" w:ascii="Cambria" w:hAnsi="Cambria"/>
                <w:kern w:val="0"/>
                <w:sz w:val="20"/>
                <w:szCs w:val="22"/>
                <w:lang w:eastAsia="zh-CN"/>
              </w:rPr>
              <w:t>Învățământ cu frecvență</w:t>
            </w:r>
          </w:p>
        </w:tc>
      </w:tr>
    </w:tbl>
    <w:p>
      <w:pPr>
        <w:pStyle w:val="Normal"/>
        <w:spacing w:before="0" w:after="0"/>
        <w:rPr>
          <w:rFonts w:ascii="Cambria" w:hAnsi="Cambria"/>
          <w:b/>
          <w:sz w:val="20"/>
          <w:szCs w:val="20"/>
        </w:rPr>
      </w:pPr>
      <w:r>
        <w:rPr>
          <w:rFonts w:ascii="Cambria" w:hAnsi="Cambria"/>
          <w:b/>
          <w:sz w:val="20"/>
          <w:szCs w:val="20"/>
        </w:rPr>
      </w:r>
    </w:p>
    <w:p>
      <w:pPr>
        <w:pStyle w:val="Normal"/>
        <w:spacing w:before="0" w:after="0"/>
        <w:ind w:hanging="567" w:left="142"/>
        <w:rPr>
          <w:rFonts w:ascii="Cambria" w:hAnsi="Cambria"/>
          <w:b/>
          <w:sz w:val="20"/>
          <w:szCs w:val="20"/>
        </w:rPr>
      </w:pPr>
      <w:r>
        <w:rPr>
          <w:rFonts w:ascii="Cambria" w:hAnsi="Cambria"/>
          <w:b/>
          <w:sz w:val="20"/>
          <w:szCs w:val="20"/>
        </w:rPr>
        <w:t>2. Date despre disciplină</w:t>
      </w:r>
    </w:p>
    <w:tbl>
      <w:tblPr>
        <w:tblW w:w="10515" w:type="dxa"/>
        <w:jc w:val="left"/>
        <w:tblInd w:w="-456" w:type="dxa"/>
        <w:tblLayout w:type="fixed"/>
        <w:tblCellMar>
          <w:top w:w="0" w:type="dxa"/>
          <w:left w:w="108" w:type="dxa"/>
          <w:bottom w:w="0" w:type="dxa"/>
          <w:right w:w="108" w:type="dxa"/>
        </w:tblCellMar>
        <w:tblLook w:firstRow="0" w:noVBand="0" w:lastRow="0" w:firstColumn="0" w:lastColumn="0" w:noHBand="0" w:val="0000"/>
      </w:tblPr>
      <w:tblGrid>
        <w:gridCol w:w="2577"/>
        <w:gridCol w:w="849"/>
        <w:gridCol w:w="1419"/>
        <w:gridCol w:w="849"/>
        <w:gridCol w:w="1844"/>
        <w:gridCol w:w="143"/>
        <w:gridCol w:w="1557"/>
        <w:gridCol w:w="1276"/>
      </w:tblGrid>
      <w:tr>
        <w:trPr>
          <w:trHeight w:val="284" w:hRule="atLeast"/>
        </w:trPr>
        <w:tc>
          <w:tcPr>
            <w:tcW w:w="2577"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rPr>
                <w:rFonts w:ascii="Cambria" w:hAnsi="Cambria" w:eastAsia="Times New Roman" w:cs="Times New Roman"/>
                <w:sz w:val="20"/>
                <w:lang w:eastAsia="zh-CN"/>
              </w:rPr>
            </w:pPr>
            <w:r>
              <w:rPr>
                <w:rFonts w:eastAsia="Times New Roman" w:cs="Times New Roman" w:ascii="Cambria" w:hAnsi="Cambria"/>
                <w:sz w:val="20"/>
                <w:lang w:eastAsia="zh-CN"/>
              </w:rPr>
              <w:t>2.1. Denumirea disciplinei</w:t>
            </w:r>
          </w:p>
        </w:tc>
        <w:tc>
          <w:tcPr>
            <w:tcW w:w="4961" w:type="dxa"/>
            <w:gridSpan w:val="4"/>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jc w:val="center"/>
              <w:rPr>
                <w:rFonts w:ascii="Cambria" w:hAnsi="Cambria" w:eastAsia="Times New Roman" w:cs="Times New Roman"/>
                <w:b/>
                <w:sz w:val="20"/>
                <w:lang w:eastAsia="zh-CN"/>
              </w:rPr>
            </w:pPr>
            <w:r>
              <w:rPr>
                <w:rFonts w:eastAsia="Times New Roman" w:cs="Times New Roman" w:ascii="Cambria" w:hAnsi="Cambria"/>
                <w:b/>
                <w:sz w:val="20"/>
                <w:lang w:eastAsia="zh-CN"/>
              </w:rPr>
              <w:t>Matematici generale</w:t>
            </w:r>
          </w:p>
        </w:tc>
        <w:tc>
          <w:tcPr>
            <w:tcW w:w="1700" w:type="dxa"/>
            <w:gridSpan w:val="2"/>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rPr>
                <w:rFonts w:ascii="Cambria" w:hAnsi="Cambria" w:eastAsia="Times New Roman" w:cs="Times New Roman"/>
                <w:sz w:val="20"/>
                <w:lang w:eastAsia="zh-CN"/>
              </w:rPr>
            </w:pPr>
            <w:r>
              <w:rPr>
                <w:rFonts w:eastAsia="Times New Roman" w:cs="Times New Roman" w:ascii="Cambria" w:hAnsi="Cambria"/>
                <w:sz w:val="20"/>
                <w:lang w:eastAsia="zh-CN"/>
              </w:rPr>
              <w:t>Codul disciplinei</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jc w:val="center"/>
              <w:rPr>
                <w:rFonts w:ascii="Cambria" w:hAnsi="Cambria" w:eastAsia="Times New Roman" w:cs="Times New Roman"/>
                <w:b/>
                <w:sz w:val="20"/>
                <w:lang w:eastAsia="zh-CN"/>
              </w:rPr>
            </w:pPr>
            <w:r>
              <w:rPr>
                <w:rFonts w:eastAsia="Times New Roman" w:cs="Times New Roman" w:ascii="Cambria" w:hAnsi="Cambria"/>
                <w:b/>
                <w:sz w:val="20"/>
                <w:lang w:eastAsia="zh-CN"/>
              </w:rPr>
              <w:t>CLM2011</w:t>
            </w:r>
          </w:p>
        </w:tc>
      </w:tr>
      <w:tr>
        <w:trPr>
          <w:trHeight w:val="284" w:hRule="atLeast"/>
        </w:trPr>
        <w:tc>
          <w:tcPr>
            <w:tcW w:w="3426" w:type="dxa"/>
            <w:gridSpan w:val="2"/>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ind w:left="34"/>
              <w:rPr>
                <w:rFonts w:ascii="Cambria" w:hAnsi="Cambria" w:eastAsia="Times New Roman" w:cs="Times New Roman"/>
                <w:sz w:val="20"/>
                <w:lang w:eastAsia="zh-CN"/>
              </w:rPr>
            </w:pPr>
            <w:r>
              <w:rPr>
                <w:rFonts w:eastAsia="Times New Roman" w:cs="Times New Roman" w:ascii="Cambria" w:hAnsi="Cambria"/>
                <w:sz w:val="20"/>
                <w:lang w:eastAsia="zh-CN"/>
              </w:rPr>
              <w:t>2.2. Titularul activităților de curs</w:t>
            </w:r>
          </w:p>
        </w:tc>
        <w:tc>
          <w:tcPr>
            <w:tcW w:w="7088" w:type="dxa"/>
            <w:gridSpan w:val="6"/>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rPr>
                <w:rFonts w:ascii="Cambria" w:hAnsi="Cambria" w:eastAsia="Times New Roman" w:cs="Times New Roman"/>
                <w:sz w:val="20"/>
                <w:lang w:eastAsia="zh-CN"/>
              </w:rPr>
            </w:pPr>
            <w:r>
              <w:rPr>
                <w:rFonts w:eastAsia="Times New Roman" w:cs="Times New Roman" w:ascii="Cambria" w:hAnsi="Cambria"/>
                <w:sz w:val="20"/>
                <w:lang w:eastAsia="zh-CN"/>
              </w:rPr>
              <w:t>Conf. Dr. Finta Zolt</w:t>
            </w:r>
            <w:r>
              <w:rPr>
                <w:rFonts w:eastAsia="Times New Roman" w:cs="Times New Roman" w:ascii="Cambria" w:hAnsi="Cambria"/>
                <w:sz w:val="20"/>
                <w:lang w:val="hu-HU" w:eastAsia="zh-CN"/>
              </w:rPr>
              <w:t>án</w:t>
            </w:r>
          </w:p>
        </w:tc>
      </w:tr>
      <w:tr>
        <w:trPr>
          <w:trHeight w:val="284" w:hRule="atLeast"/>
        </w:trPr>
        <w:tc>
          <w:tcPr>
            <w:tcW w:w="3426" w:type="dxa"/>
            <w:gridSpan w:val="2"/>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ind w:left="34"/>
              <w:rPr>
                <w:rFonts w:ascii="Cambria" w:hAnsi="Cambria" w:eastAsia="Times New Roman" w:cs="Times New Roman"/>
                <w:sz w:val="20"/>
                <w:lang w:eastAsia="zh-CN"/>
              </w:rPr>
            </w:pPr>
            <w:r>
              <w:rPr>
                <w:rFonts w:eastAsia="Times New Roman" w:cs="Times New Roman" w:ascii="Cambria" w:hAnsi="Cambria"/>
                <w:sz w:val="20"/>
                <w:lang w:eastAsia="zh-CN"/>
              </w:rPr>
              <w:t>2.3. Titularul activităților de seminar</w:t>
            </w:r>
          </w:p>
        </w:tc>
        <w:tc>
          <w:tcPr>
            <w:tcW w:w="7088" w:type="dxa"/>
            <w:gridSpan w:val="6"/>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rPr>
                <w:rFonts w:ascii="Cambria" w:hAnsi="Cambria" w:eastAsia="Times New Roman" w:cs="Times New Roman"/>
                <w:sz w:val="20"/>
                <w:lang w:val="hu-HU" w:eastAsia="zh-CN"/>
              </w:rPr>
            </w:pPr>
            <w:r>
              <w:rPr>
                <w:rFonts w:eastAsia="Times New Roman" w:cs="Times New Roman" w:ascii="Cambria" w:hAnsi="Cambria"/>
                <w:sz w:val="20"/>
                <w:lang w:val="hu-HU" w:eastAsia="zh-CN"/>
              </w:rPr>
              <w:t>Conf. Dr. Finta Zoltán</w:t>
            </w:r>
          </w:p>
        </w:tc>
      </w:tr>
      <w:tr>
        <w:trPr>
          <w:trHeight w:val="283" w:hRule="atLeast"/>
        </w:trPr>
        <w:tc>
          <w:tcPr>
            <w:tcW w:w="2577"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ind w:left="34"/>
              <w:rPr>
                <w:rFonts w:ascii="Cambria" w:hAnsi="Cambria" w:eastAsia="Times New Roman" w:cs="Times New Roman"/>
                <w:sz w:val="20"/>
                <w:lang w:eastAsia="zh-CN"/>
              </w:rPr>
            </w:pPr>
            <w:r>
              <w:rPr>
                <w:rFonts w:eastAsia="Times New Roman" w:cs="Times New Roman" w:ascii="Cambria" w:hAnsi="Cambria"/>
                <w:sz w:val="20"/>
                <w:lang w:eastAsia="zh-CN"/>
              </w:rPr>
              <w:t>2.4. Anul de studiu</w:t>
            </w:r>
          </w:p>
        </w:tc>
        <w:tc>
          <w:tcPr>
            <w:tcW w:w="849"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jc w:val="center"/>
              <w:rPr>
                <w:rFonts w:ascii="Cambria" w:hAnsi="Cambria" w:eastAsia="Times New Roman" w:cs="Times New Roman"/>
                <w:sz w:val="20"/>
                <w:lang w:eastAsia="zh-CN"/>
              </w:rPr>
            </w:pPr>
            <w:r>
              <w:rPr>
                <w:rFonts w:eastAsia="Times New Roman" w:cs="Times New Roman" w:ascii="Cambria" w:hAnsi="Cambria"/>
                <w:sz w:val="20"/>
                <w:lang w:eastAsia="zh-CN"/>
              </w:rPr>
              <w:t>1</w:t>
            </w:r>
          </w:p>
        </w:tc>
        <w:tc>
          <w:tcPr>
            <w:tcW w:w="1419"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ind w:right="-203"/>
              <w:rPr>
                <w:rFonts w:ascii="Cambria" w:hAnsi="Cambria" w:eastAsia="Times New Roman" w:cs="Times New Roman"/>
                <w:sz w:val="20"/>
                <w:lang w:eastAsia="zh-CN"/>
              </w:rPr>
            </w:pPr>
            <w:r>
              <w:rPr>
                <w:rFonts w:eastAsia="Times New Roman" w:cs="Times New Roman" w:ascii="Cambria" w:hAnsi="Cambria"/>
                <w:sz w:val="20"/>
                <w:lang w:eastAsia="zh-CN"/>
              </w:rPr>
              <w:t>2.5. Semestrul</w:t>
            </w:r>
          </w:p>
        </w:tc>
        <w:tc>
          <w:tcPr>
            <w:tcW w:w="849"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jc w:val="center"/>
              <w:rPr>
                <w:rFonts w:ascii="Cambria" w:hAnsi="Cambria" w:eastAsia="Times New Roman" w:cs="Times New Roman"/>
                <w:sz w:val="20"/>
                <w:lang w:eastAsia="zh-CN"/>
              </w:rPr>
            </w:pPr>
            <w:r>
              <w:rPr>
                <w:rFonts w:eastAsia="Times New Roman" w:cs="Times New Roman" w:ascii="Cambria" w:hAnsi="Cambria"/>
                <w:sz w:val="20"/>
                <w:lang w:eastAsia="zh-CN"/>
              </w:rPr>
              <w:t>1</w:t>
            </w:r>
          </w:p>
        </w:tc>
        <w:tc>
          <w:tcPr>
            <w:tcW w:w="1987" w:type="dxa"/>
            <w:gridSpan w:val="2"/>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ind w:right="-288"/>
              <w:rPr>
                <w:rFonts w:ascii="Cambria" w:hAnsi="Cambria" w:eastAsia="Times New Roman" w:cs="Times New Roman"/>
                <w:sz w:val="20"/>
                <w:lang w:eastAsia="zh-CN"/>
              </w:rPr>
            </w:pPr>
            <w:r>
              <w:rPr>
                <w:rFonts w:eastAsia="Times New Roman" w:cs="Times New Roman" w:ascii="Cambria" w:hAnsi="Cambria"/>
                <w:sz w:val="20"/>
                <w:lang w:eastAsia="zh-CN"/>
              </w:rPr>
              <w:t>2.6. Tipul de evaluare</w:t>
            </w:r>
          </w:p>
        </w:tc>
        <w:tc>
          <w:tcPr>
            <w:tcW w:w="2833" w:type="dxa"/>
            <w:gridSpan w:val="2"/>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jc w:val="center"/>
              <w:rPr>
                <w:rFonts w:ascii="Cambria" w:hAnsi="Cambria"/>
                <w:sz w:val="20"/>
                <w:szCs w:val="20"/>
              </w:rPr>
            </w:pPr>
            <w:sdt>
              <w:sdtPr>
                <w:dropDownList>
                  <w:listItem w:displayText="Examen" w:value="Examen"/>
                  <w:listItem w:displayText="Colocviu" w:value="Colocviu"/>
                  <w:listItem w:displayText="Evaluare pe parcurs" w:value="Evaluare pe parcurs"/>
                </w:dropDownList>
              </w:sdtPr>
              <w:sdtContent>
                <w:r>
                  <w:rPr>
                    <w:rFonts w:ascii="Cambria" w:hAnsi="Cambria"/>
                    <w:sz w:val="20"/>
                    <w:szCs w:val="20"/>
                  </w:rPr>
                </w:r>
                <w:r>
                  <w:rPr>
                    <w:rFonts w:ascii="Cambria" w:hAnsi="Cambria"/>
                    <w:sz w:val="20"/>
                    <w:szCs w:val="20"/>
                  </w:rPr>
                  <w:t>Examen</w:t>
                </w:r>
              </w:sdtContent>
            </w:sdt>
          </w:p>
        </w:tc>
      </w:tr>
      <w:tr>
        <w:trPr>
          <w:trHeight w:val="283" w:hRule="atLeast"/>
        </w:trPr>
        <w:tc>
          <w:tcPr>
            <w:tcW w:w="2577"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rPr>
                <w:rFonts w:ascii="Cambria" w:hAnsi="Cambria" w:eastAsia="Times New Roman" w:cs="Times New Roman"/>
                <w:color w:val="0070C0"/>
                <w:sz w:val="20"/>
                <w:szCs w:val="28"/>
                <w:lang w:eastAsia="zh-CN"/>
              </w:rPr>
            </w:pPr>
            <w:r>
              <w:rPr>
                <w:rFonts w:eastAsia="Times New Roman" w:cs="Times New Roman" w:ascii="Cambria" w:hAnsi="Cambria"/>
                <w:sz w:val="20"/>
                <w:lang w:eastAsia="zh-CN"/>
              </w:rPr>
              <w:t>2.7. Regimul disciplinei</w:t>
            </w:r>
          </w:p>
        </w:tc>
        <w:tc>
          <w:tcPr>
            <w:tcW w:w="2268" w:type="dxa"/>
            <w:gridSpan w:val="2"/>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jc w:val="center"/>
              <w:rPr>
                <w:rFonts w:ascii="Cambria" w:hAnsi="Cambria"/>
                <w:sz w:val="20"/>
                <w:szCs w:val="20"/>
              </w:rPr>
            </w:pPr>
            <w:sdt>
              <w:sdtPr>
                <w:dropDownList>
                  <w:listItem w:displayText="Obligatoriu" w:value="Obligatoriu"/>
                  <w:listItem w:displayText="Opțional" w:value="Opțional"/>
                  <w:listItem w:displayText="Facultativ" w:value="Facultativ"/>
                </w:dropDownList>
              </w:sdtPr>
              <w:sdtContent>
                <w:r>
                  <w:rPr>
                    <w:rFonts w:ascii="Cambria" w:hAnsi="Cambria"/>
                    <w:sz w:val="20"/>
                    <w:szCs w:val="20"/>
                  </w:rPr>
                </w:r>
                <w:r>
                  <w:rPr>
                    <w:rFonts w:ascii="Cambria" w:hAnsi="Cambria"/>
                    <w:sz w:val="20"/>
                    <w:szCs w:val="20"/>
                  </w:rPr>
                  <w:t>Obligatoriu</w:t>
                </w:r>
              </w:sdtContent>
            </w:sdt>
          </w:p>
        </w:tc>
        <w:tc>
          <w:tcPr>
            <w:tcW w:w="2836" w:type="dxa"/>
            <w:gridSpan w:val="3"/>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rPr>
                <w:rFonts w:ascii="Cambria" w:hAnsi="Cambria" w:eastAsia="Times New Roman" w:cs="Times New Roman"/>
                <w:color w:val="0070C0"/>
                <w:sz w:val="20"/>
                <w:szCs w:val="28"/>
                <w:lang w:eastAsia="zh-CN"/>
              </w:rPr>
            </w:pPr>
            <w:r>
              <w:rPr>
                <w:rFonts w:eastAsia="Times New Roman" w:cs="Times New Roman" w:ascii="Cambria" w:hAnsi="Cambria"/>
                <w:sz w:val="20"/>
                <w:lang w:eastAsia="zh-CN"/>
              </w:rPr>
              <w:t>2.8. Tipul disciplinei</w:t>
            </w:r>
          </w:p>
        </w:tc>
        <w:tc>
          <w:tcPr>
            <w:tcW w:w="2833" w:type="dxa"/>
            <w:gridSpan w:val="2"/>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jc w:val="center"/>
              <w:rPr>
                <w:rFonts w:ascii="Cambria" w:hAnsi="Cambria"/>
                <w:sz w:val="20"/>
                <w:szCs w:val="20"/>
              </w:rPr>
            </w:pPr>
            <w:sdt>
              <w:sdtP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Content>
                <w:r>
                  <w:rPr>
                    <w:rFonts w:ascii="Cambria" w:hAnsi="Cambria"/>
                    <w:sz w:val="20"/>
                    <w:szCs w:val="20"/>
                  </w:rPr>
                </w:r>
                <w:r>
                  <w:rPr>
                    <w:rFonts w:ascii="Cambria" w:hAnsi="Cambria"/>
                    <w:sz w:val="20"/>
                    <w:szCs w:val="20"/>
                  </w:rPr>
                  <w:t>Disciplină complementară (DC)</w:t>
                </w:r>
              </w:sdtContent>
            </w:sdt>
          </w:p>
        </w:tc>
      </w:tr>
    </w:tbl>
    <w:p>
      <w:pPr>
        <w:pStyle w:val="Normal"/>
        <w:suppressAutoHyphens w:val="true"/>
        <w:spacing w:before="0" w:after="0"/>
        <w:ind w:firstLine="720" w:right="-765"/>
        <w:rPr>
          <w:rFonts w:ascii="Cambria" w:hAnsi="Cambria"/>
          <w:sz w:val="20"/>
          <w:szCs w:val="20"/>
        </w:rPr>
      </w:pPr>
      <w:r>
        <w:rPr>
          <w:rFonts w:ascii="Cambria" w:hAnsi="Cambria"/>
          <w:sz w:val="20"/>
          <w:szCs w:val="20"/>
        </w:rPr>
      </w:r>
    </w:p>
    <w:p>
      <w:pPr>
        <w:pStyle w:val="Normal"/>
        <w:suppressAutoHyphens w:val="true"/>
        <w:spacing w:lineRule="auto" w:line="240" w:before="0" w:after="0"/>
        <w:ind w:hanging="426" w:right="-766"/>
        <w:rPr>
          <w:rFonts w:ascii="Cambria" w:hAnsi="Cambria" w:eastAsia="Times New Roman" w:cs="Times New Roman"/>
          <w:sz w:val="20"/>
          <w:lang w:eastAsia="zh-CN"/>
        </w:rPr>
      </w:pPr>
      <w:r>
        <w:rPr>
          <w:rFonts w:eastAsia="Times New Roman" w:cs="Times New Roman" w:ascii="Cambria" w:hAnsi="Cambria"/>
          <w:b/>
          <w:sz w:val="20"/>
          <w:lang w:eastAsia="zh-CN"/>
        </w:rPr>
        <w:t xml:space="preserve">3. Timpul total estimat </w:t>
      </w:r>
      <w:r>
        <w:rPr>
          <w:rFonts w:eastAsia="Times New Roman" w:cs="Times New Roman" w:ascii="Cambria" w:hAnsi="Cambria"/>
          <w:sz w:val="20"/>
          <w:lang w:eastAsia="zh-CN"/>
        </w:rPr>
        <w:t>(ore pe semestru al activităților didactice)</w:t>
      </w:r>
    </w:p>
    <w:tbl>
      <w:tblPr>
        <w:tblpPr w:vertAnchor="text" w:horzAnchor="text" w:leftFromText="180" w:rightFromText="180" w:tblpX="-409" w:tblpY="1"/>
        <w:tblOverlap w:val="never"/>
        <w:tblW w:w="10485"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3538"/>
        <w:gridCol w:w="852"/>
        <w:gridCol w:w="1842"/>
        <w:gridCol w:w="284"/>
        <w:gridCol w:w="427"/>
        <w:gridCol w:w="2974"/>
        <w:gridCol w:w="567"/>
      </w:tblGrid>
      <w:tr>
        <w:trPr>
          <w:trHeight w:val="284" w:hRule="atLeast"/>
        </w:trPr>
        <w:tc>
          <w:tcPr>
            <w:tcW w:w="3538"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0"/>
              <w:outlineLvl w:val="1"/>
              <w:rPr>
                <w:rFonts w:ascii="Cambria" w:hAnsi="Cambria" w:eastAsia="Times New Roman" w:cs="Times New Roman"/>
                <w:sz w:val="20"/>
                <w:lang w:eastAsia="zh-CN"/>
              </w:rPr>
            </w:pPr>
            <w:r>
              <w:rPr>
                <w:rFonts w:eastAsia="Times New Roman" w:cs="Times New Roman" w:ascii="Cambria" w:hAnsi="Cambria"/>
                <w:sz w:val="20"/>
                <w:lang w:eastAsia="zh-CN"/>
              </w:rPr>
              <w:t>3.1. Număr de ore pe săptămână</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jc w:val="center"/>
              <w:rPr>
                <w:rFonts w:ascii="Cambria" w:hAnsi="Cambria" w:eastAsia="Times New Roman" w:cs="Times New Roman"/>
                <w:sz w:val="20"/>
                <w:lang w:eastAsia="zh-CN"/>
              </w:rPr>
            </w:pPr>
            <w:r>
              <w:rPr>
                <w:rFonts w:eastAsia="Times New Roman" w:cs="Times New Roman" w:ascii="Cambria" w:hAnsi="Cambria"/>
                <w:sz w:val="20"/>
                <w:lang w:eastAsia="zh-CN"/>
              </w:rPr>
              <w:t>4</w:t>
            </w:r>
          </w:p>
        </w:tc>
        <w:tc>
          <w:tcPr>
            <w:tcW w:w="1842"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rPr>
                <w:rFonts w:ascii="Cambria" w:hAnsi="Cambria" w:eastAsia="Times New Roman" w:cs="Times New Roman"/>
                <w:sz w:val="20"/>
                <w:lang w:eastAsia="zh-CN"/>
              </w:rPr>
            </w:pPr>
            <w:r>
              <w:rPr>
                <w:rFonts w:eastAsia="Times New Roman" w:cs="Times New Roman" w:ascii="Cambria" w:hAnsi="Cambria"/>
                <w:sz w:val="20"/>
                <w:lang w:eastAsia="zh-CN"/>
              </w:rPr>
              <w:t>din care: 3.2. curs</w:t>
            </w:r>
          </w:p>
        </w:tc>
        <w:tc>
          <w:tcPr>
            <w:tcW w:w="711" w:type="dxa"/>
            <w:gridSpan w:val="2"/>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jc w:val="center"/>
              <w:rPr>
                <w:rFonts w:ascii="Cambria" w:hAnsi="Cambria" w:eastAsia="Times New Roman" w:cs="Times New Roman"/>
                <w:sz w:val="20"/>
                <w:lang w:eastAsia="zh-CN"/>
              </w:rPr>
            </w:pPr>
            <w:r>
              <w:rPr>
                <w:rFonts w:eastAsia="Times New Roman" w:cs="Times New Roman" w:ascii="Cambria" w:hAnsi="Cambria"/>
                <w:sz w:val="20"/>
                <w:lang w:eastAsia="zh-CN"/>
              </w:rPr>
              <w:t>2</w:t>
            </w:r>
          </w:p>
        </w:tc>
        <w:tc>
          <w:tcPr>
            <w:tcW w:w="297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rPr>
                <w:rFonts w:ascii="Cambria" w:hAnsi="Cambria" w:eastAsia="Times New Roman" w:cs="Times New Roman"/>
                <w:sz w:val="20"/>
                <w:lang w:eastAsia="zh-CN"/>
              </w:rPr>
            </w:pPr>
            <w:r>
              <w:rPr>
                <w:rFonts w:eastAsia="Times New Roman" w:cs="Times New Roman" w:ascii="Cambria" w:hAnsi="Cambria"/>
                <w:sz w:val="20"/>
                <w:lang w:eastAsia="zh-CN"/>
              </w:rPr>
              <w:t>3.3. seminar/ laborator/ proiect</w:t>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jc w:val="center"/>
              <w:rPr>
                <w:rFonts w:ascii="Cambria" w:hAnsi="Cambria" w:eastAsia="Times New Roman" w:cs="Times New Roman"/>
                <w:sz w:val="20"/>
                <w:lang w:eastAsia="zh-CN"/>
              </w:rPr>
            </w:pPr>
            <w:r>
              <w:rPr>
                <w:rFonts w:eastAsia="Times New Roman" w:cs="Times New Roman" w:ascii="Cambria" w:hAnsi="Cambria"/>
                <w:sz w:val="20"/>
                <w:lang w:eastAsia="zh-CN"/>
              </w:rPr>
              <w:t>2</w:t>
            </w:r>
          </w:p>
        </w:tc>
      </w:tr>
      <w:tr>
        <w:trPr>
          <w:trHeight w:val="284" w:hRule="atLeast"/>
        </w:trPr>
        <w:tc>
          <w:tcPr>
            <w:tcW w:w="3538"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0"/>
              <w:outlineLvl w:val="1"/>
              <w:rPr>
                <w:rFonts w:ascii="Cambria" w:hAnsi="Cambria" w:eastAsia="Times New Roman" w:cs="Times New Roman"/>
                <w:sz w:val="20"/>
                <w:lang w:eastAsia="zh-CN"/>
              </w:rPr>
            </w:pPr>
            <w:r>
              <w:rPr>
                <w:rFonts w:eastAsia="Times New Roman" w:cs="Times New Roman" w:ascii="Cambria" w:hAnsi="Cambria"/>
                <w:sz w:val="20"/>
                <w:lang w:eastAsia="zh-CN"/>
              </w:rPr>
              <w:t>3.4. Total ore din planul de învățământ</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jc w:val="center"/>
              <w:rPr>
                <w:rFonts w:ascii="Cambria" w:hAnsi="Cambria" w:eastAsia="Times New Roman" w:cs="Times New Roman"/>
                <w:sz w:val="20"/>
                <w:lang w:eastAsia="zh-CN"/>
              </w:rPr>
            </w:pPr>
            <w:r>
              <w:rPr>
                <w:rFonts w:eastAsia="Times New Roman" w:cs="Times New Roman" w:ascii="Cambria" w:hAnsi="Cambria"/>
                <w:sz w:val="20"/>
                <w:lang w:eastAsia="zh-CN"/>
              </w:rPr>
              <w:t>56</w:t>
            </w:r>
          </w:p>
        </w:tc>
        <w:tc>
          <w:tcPr>
            <w:tcW w:w="1842"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rPr>
                <w:rFonts w:ascii="Cambria" w:hAnsi="Cambria" w:eastAsia="Times New Roman" w:cs="Times New Roman"/>
                <w:color w:val="FF0000"/>
                <w:sz w:val="20"/>
                <w:lang w:eastAsia="zh-CN"/>
              </w:rPr>
            </w:pPr>
            <w:r>
              <w:rPr>
                <w:rFonts w:eastAsia="Times New Roman" w:cs="Times New Roman" w:ascii="Cambria" w:hAnsi="Cambria"/>
                <w:sz w:val="20"/>
                <w:lang w:eastAsia="zh-CN"/>
              </w:rPr>
              <w:t>din care: 3.5. curs</w:t>
            </w:r>
          </w:p>
        </w:tc>
        <w:tc>
          <w:tcPr>
            <w:tcW w:w="711" w:type="dxa"/>
            <w:gridSpan w:val="2"/>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jc w:val="center"/>
              <w:rPr>
                <w:rFonts w:ascii="Cambria" w:hAnsi="Cambria" w:eastAsia="Times New Roman" w:cs="Times New Roman"/>
                <w:sz w:val="20"/>
                <w:lang w:eastAsia="zh-CN"/>
              </w:rPr>
            </w:pPr>
            <w:r>
              <w:rPr>
                <w:rFonts w:eastAsia="Times New Roman" w:cs="Times New Roman" w:ascii="Cambria" w:hAnsi="Cambria"/>
                <w:sz w:val="20"/>
                <w:lang w:eastAsia="zh-CN"/>
              </w:rPr>
              <w:t>28</w:t>
            </w:r>
          </w:p>
        </w:tc>
        <w:tc>
          <w:tcPr>
            <w:tcW w:w="297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rPr>
                <w:rFonts w:ascii="Cambria" w:hAnsi="Cambria" w:eastAsia="Times New Roman" w:cs="Times New Roman"/>
                <w:sz w:val="20"/>
                <w:lang w:eastAsia="zh-CN"/>
              </w:rPr>
            </w:pPr>
            <w:r>
              <w:rPr>
                <w:rFonts w:eastAsia="Times New Roman" w:cs="Times New Roman" w:ascii="Cambria" w:hAnsi="Cambria"/>
                <w:sz w:val="20"/>
                <w:lang w:eastAsia="zh-CN"/>
              </w:rPr>
              <w:t>3.6 seminar/laborator</w:t>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0"/>
              <w:jc w:val="center"/>
              <w:outlineLvl w:val="1"/>
              <w:rPr>
                <w:rFonts w:ascii="Cambria" w:hAnsi="Cambria" w:eastAsia="Times New Roman" w:cs="Times New Roman"/>
                <w:sz w:val="20"/>
                <w:lang w:eastAsia="zh-CN"/>
              </w:rPr>
            </w:pPr>
            <w:r>
              <w:rPr>
                <w:rFonts w:eastAsia="Times New Roman" w:cs="Times New Roman" w:ascii="Cambria" w:hAnsi="Cambria"/>
                <w:sz w:val="20"/>
                <w:lang w:eastAsia="zh-CN"/>
              </w:rPr>
              <w:t>28</w:t>
            </w:r>
          </w:p>
        </w:tc>
      </w:tr>
      <w:tr>
        <w:trPr>
          <w:trHeight w:val="284" w:hRule="atLeast"/>
        </w:trPr>
        <w:tc>
          <w:tcPr>
            <w:tcW w:w="9917" w:type="dxa"/>
            <w:gridSpan w:val="6"/>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0"/>
              <w:outlineLvl w:val="1"/>
              <w:rPr>
                <w:rFonts w:ascii="Cambria" w:hAnsi="Cambria" w:eastAsia="Times New Roman" w:cs="Times New Roman"/>
                <w:b/>
                <w:sz w:val="20"/>
                <w:lang w:eastAsia="zh-CN"/>
              </w:rPr>
            </w:pPr>
            <w:r>
              <w:rPr>
                <w:rFonts w:eastAsia="Times New Roman" w:cs="Times New Roman" w:ascii="Cambria" w:hAnsi="Cambria"/>
                <w:b/>
                <w:sz w:val="20"/>
                <w:lang w:eastAsia="zh-CN"/>
              </w:rPr>
              <w:t>Distribuția fondului de timp pentru studiul individual (SI) și activități de autoinstruire (AI)</w:t>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0"/>
              <w:jc w:val="center"/>
              <w:outlineLvl w:val="1"/>
              <w:rPr>
                <w:rFonts w:ascii="Cambria" w:hAnsi="Cambria" w:eastAsia="Times New Roman" w:cs="Times New Roman"/>
                <w:b/>
                <w:sz w:val="20"/>
                <w:lang w:eastAsia="zh-CN"/>
              </w:rPr>
            </w:pPr>
            <w:r>
              <w:rPr>
                <w:rFonts w:eastAsia="Times New Roman" w:cs="Times New Roman" w:ascii="Cambria" w:hAnsi="Cambria"/>
                <w:b/>
                <w:sz w:val="20"/>
                <w:lang w:eastAsia="zh-CN"/>
              </w:rPr>
              <w:t>ore</w:t>
            </w:r>
          </w:p>
        </w:tc>
      </w:tr>
      <w:tr>
        <w:trPr>
          <w:trHeight w:val="284" w:hRule="atLeast"/>
        </w:trPr>
        <w:tc>
          <w:tcPr>
            <w:tcW w:w="9917" w:type="dxa"/>
            <w:gridSpan w:val="6"/>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rPr>
                <w:rFonts w:ascii="Cambria" w:hAnsi="Cambria" w:eastAsia="Times New Roman" w:cs="Times New Roman"/>
                <w:b/>
                <w:sz w:val="20"/>
                <w:lang w:val="fr-FR" w:eastAsia="zh-CN"/>
              </w:rPr>
            </w:pPr>
            <w:r>
              <w:rPr>
                <w:rFonts w:eastAsia="Times New Roman" w:cs="Times New Roman" w:ascii="Cambria" w:hAnsi="Cambria"/>
                <w:sz w:val="20"/>
                <w:lang w:val="fr-FR" w:eastAsia="zh-CN"/>
              </w:rPr>
              <w:t>Studiul după manual, suport de curs, bibliografie și notițe (AI)</w:t>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0"/>
              <w:jc w:val="center"/>
              <w:outlineLvl w:val="1"/>
              <w:rPr>
                <w:rFonts w:ascii="Cambria" w:hAnsi="Cambria" w:eastAsia="Times New Roman" w:cs="Times New Roman"/>
                <w:sz w:val="20"/>
                <w:lang w:eastAsia="zh-CN"/>
              </w:rPr>
            </w:pPr>
            <w:r>
              <w:rPr>
                <w:rFonts w:eastAsia="Times New Roman" w:cs="Times New Roman" w:ascii="Cambria" w:hAnsi="Cambria"/>
                <w:sz w:val="20"/>
                <w:lang w:eastAsia="zh-CN"/>
              </w:rPr>
              <w:t>25</w:t>
            </w:r>
          </w:p>
        </w:tc>
      </w:tr>
      <w:tr>
        <w:trPr>
          <w:trHeight w:val="284" w:hRule="atLeast"/>
        </w:trPr>
        <w:tc>
          <w:tcPr>
            <w:tcW w:w="9917" w:type="dxa"/>
            <w:gridSpan w:val="6"/>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0"/>
              <w:outlineLvl w:val="1"/>
              <w:rPr>
                <w:rFonts w:ascii="Cambria" w:hAnsi="Cambria" w:eastAsia="Times New Roman" w:cs="Times New Roman"/>
                <w:sz w:val="20"/>
                <w:lang w:eastAsia="zh-CN"/>
              </w:rPr>
            </w:pPr>
            <w:r>
              <w:rPr>
                <w:rFonts w:eastAsia="Times New Roman" w:cs="Times New Roman" w:ascii="Cambria" w:hAnsi="Cambria"/>
                <w:sz w:val="20"/>
                <w:lang w:eastAsia="zh-CN"/>
              </w:rPr>
              <w:t>Documentare suplimentară în bibliotecă, pe platformele electronice de specialitate și pe teren</w:t>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0"/>
              <w:jc w:val="center"/>
              <w:outlineLvl w:val="1"/>
              <w:rPr>
                <w:rFonts w:ascii="Cambria" w:hAnsi="Cambria" w:eastAsia="Times New Roman" w:cs="Times New Roman"/>
                <w:sz w:val="20"/>
                <w:lang w:eastAsia="zh-CN"/>
              </w:rPr>
            </w:pPr>
            <w:r>
              <w:rPr>
                <w:rFonts w:eastAsia="Times New Roman" w:cs="Times New Roman" w:ascii="Cambria" w:hAnsi="Cambria"/>
                <w:sz w:val="20"/>
                <w:lang w:eastAsia="zh-CN"/>
              </w:rPr>
              <w:t>12</w:t>
            </w:r>
          </w:p>
        </w:tc>
      </w:tr>
      <w:tr>
        <w:trPr>
          <w:trHeight w:val="284" w:hRule="atLeast"/>
        </w:trPr>
        <w:tc>
          <w:tcPr>
            <w:tcW w:w="9917" w:type="dxa"/>
            <w:gridSpan w:val="6"/>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0"/>
              <w:outlineLvl w:val="1"/>
              <w:rPr>
                <w:rFonts w:ascii="Cambria" w:hAnsi="Cambria" w:eastAsia="Times New Roman" w:cs="Times New Roman"/>
                <w:color w:val="FF0000"/>
                <w:sz w:val="20"/>
                <w:lang w:eastAsia="zh-CN"/>
              </w:rPr>
            </w:pPr>
            <w:r>
              <w:rPr>
                <w:rFonts w:eastAsia="Times New Roman" w:cs="Times New Roman" w:ascii="Cambria" w:hAnsi="Cambria"/>
                <w:sz w:val="20"/>
                <w:lang w:eastAsia="zh-CN"/>
              </w:rPr>
              <w:t>Pregătire seminare/ laboratoare/ proiecte, teme, referate, portofolii și eseuri</w:t>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0"/>
              <w:jc w:val="center"/>
              <w:outlineLvl w:val="1"/>
              <w:rPr>
                <w:rFonts w:ascii="Cambria" w:hAnsi="Cambria" w:eastAsia="Times New Roman" w:cs="Times New Roman"/>
                <w:sz w:val="20"/>
                <w:lang w:eastAsia="zh-CN"/>
              </w:rPr>
            </w:pPr>
            <w:r>
              <w:rPr>
                <w:rFonts w:eastAsia="Times New Roman" w:cs="Times New Roman" w:ascii="Cambria" w:hAnsi="Cambria"/>
                <w:sz w:val="20"/>
                <w:lang w:eastAsia="zh-CN"/>
              </w:rPr>
              <w:t>10</w:t>
            </w:r>
          </w:p>
        </w:tc>
      </w:tr>
      <w:tr>
        <w:trPr>
          <w:trHeight w:val="284" w:hRule="atLeast"/>
        </w:trPr>
        <w:tc>
          <w:tcPr>
            <w:tcW w:w="9917" w:type="dxa"/>
            <w:gridSpan w:val="6"/>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0"/>
              <w:outlineLvl w:val="1"/>
              <w:rPr>
                <w:rFonts w:ascii="Cambria" w:hAnsi="Cambria" w:eastAsia="Times New Roman" w:cs="Times New Roman"/>
                <w:sz w:val="20"/>
                <w:lang w:val="en-GB" w:eastAsia="zh-CN"/>
              </w:rPr>
            </w:pPr>
            <w:r>
              <w:rPr>
                <w:rFonts w:eastAsia="Times New Roman" w:cs="Times New Roman" w:ascii="Cambria" w:hAnsi="Cambria"/>
                <w:sz w:val="20"/>
                <w:lang w:eastAsia="zh-CN"/>
              </w:rPr>
              <w:t>Tutoriat (consiliere profesională)</w:t>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0"/>
              <w:jc w:val="center"/>
              <w:outlineLvl w:val="1"/>
              <w:rPr>
                <w:rFonts w:ascii="Cambria" w:hAnsi="Cambria" w:eastAsia="Times New Roman" w:cs="Times New Roman"/>
                <w:sz w:val="20"/>
                <w:lang w:eastAsia="zh-CN"/>
              </w:rPr>
            </w:pPr>
            <w:r>
              <w:rPr>
                <w:rFonts w:eastAsia="Times New Roman" w:cs="Times New Roman" w:ascii="Cambria" w:hAnsi="Cambria"/>
                <w:sz w:val="20"/>
                <w:lang w:eastAsia="zh-CN"/>
              </w:rPr>
              <w:t>7</w:t>
            </w:r>
          </w:p>
        </w:tc>
      </w:tr>
      <w:tr>
        <w:trPr>
          <w:trHeight w:val="284" w:hRule="atLeast"/>
        </w:trPr>
        <w:tc>
          <w:tcPr>
            <w:tcW w:w="9917" w:type="dxa"/>
            <w:gridSpan w:val="6"/>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0"/>
              <w:outlineLvl w:val="1"/>
              <w:rPr>
                <w:rFonts w:ascii="Cambria" w:hAnsi="Cambria" w:eastAsia="Times New Roman" w:cs="Times New Roman"/>
                <w:sz w:val="20"/>
                <w:lang w:eastAsia="zh-CN"/>
              </w:rPr>
            </w:pPr>
            <w:r>
              <w:rPr>
                <w:rFonts w:eastAsia="Times New Roman" w:cs="Times New Roman" w:ascii="Cambria" w:hAnsi="Cambria"/>
                <w:sz w:val="20"/>
                <w:lang w:eastAsia="zh-CN"/>
              </w:rPr>
              <w:t>Examinări</w:t>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0"/>
              <w:jc w:val="center"/>
              <w:outlineLvl w:val="1"/>
              <w:rPr>
                <w:rFonts w:ascii="Cambria" w:hAnsi="Cambria" w:eastAsia="Times New Roman" w:cs="Times New Roman"/>
                <w:sz w:val="20"/>
                <w:lang w:eastAsia="zh-CN"/>
              </w:rPr>
            </w:pPr>
            <w:r>
              <w:rPr>
                <w:rFonts w:eastAsia="Times New Roman" w:cs="Times New Roman" w:ascii="Cambria" w:hAnsi="Cambria"/>
                <w:sz w:val="20"/>
                <w:lang w:eastAsia="zh-CN"/>
              </w:rPr>
              <w:t>15</w:t>
            </w:r>
          </w:p>
        </w:tc>
      </w:tr>
      <w:tr>
        <w:trPr>
          <w:trHeight w:val="284" w:hRule="atLeast"/>
        </w:trPr>
        <w:tc>
          <w:tcPr>
            <w:tcW w:w="9917" w:type="dxa"/>
            <w:gridSpan w:val="6"/>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0"/>
              <w:outlineLvl w:val="1"/>
              <w:rPr>
                <w:rFonts w:ascii="Cambria" w:hAnsi="Cambria" w:eastAsia="Times New Roman" w:cs="Times New Roman"/>
                <w:sz w:val="20"/>
                <w:lang w:eastAsia="zh-CN"/>
              </w:rPr>
            </w:pPr>
            <w:r>
              <w:rPr>
                <w:rFonts w:eastAsia="Times New Roman" w:cs="Times New Roman" w:ascii="Cambria" w:hAnsi="Cambria"/>
                <w:sz w:val="20"/>
                <w:lang w:eastAsia="zh-CN"/>
              </w:rPr>
              <w:t>Alte activităţi</w:t>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0"/>
              <w:jc w:val="center"/>
              <w:outlineLvl w:val="1"/>
              <w:rPr>
                <w:rFonts w:ascii="Cambria" w:hAnsi="Cambria" w:eastAsia="Times New Roman" w:cs="Times New Roman"/>
                <w:sz w:val="20"/>
                <w:lang w:val="hu-HU" w:eastAsia="zh-CN"/>
              </w:rPr>
            </w:pPr>
            <w:r>
              <w:rPr>
                <w:rFonts w:eastAsia="Times New Roman" w:cs="Times New Roman" w:ascii="Cambria" w:hAnsi="Cambria"/>
                <w:sz w:val="20"/>
                <w:lang w:val="hu-HU" w:eastAsia="zh-CN"/>
              </w:rPr>
              <w:t>---</w:t>
            </w:r>
          </w:p>
        </w:tc>
      </w:tr>
      <w:tr>
        <w:trPr>
          <w:trHeight w:val="284" w:hRule="atLeast"/>
        </w:trPr>
        <w:tc>
          <w:tcPr>
            <w:tcW w:w="6516" w:type="dxa"/>
            <w:gridSpan w:val="4"/>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0"/>
              <w:outlineLvl w:val="1"/>
              <w:rPr>
                <w:rFonts w:ascii="Cambria" w:hAnsi="Cambria" w:eastAsia="Times New Roman" w:cs="Times New Roman"/>
                <w:b/>
                <w:sz w:val="20"/>
                <w:lang w:eastAsia="zh-CN"/>
              </w:rPr>
            </w:pPr>
            <w:r>
              <w:rPr>
                <w:rFonts w:eastAsia="Times New Roman" w:cs="Times New Roman" w:ascii="Cambria" w:hAnsi="Cambria"/>
                <w:b/>
                <w:sz w:val="20"/>
                <w:lang w:eastAsia="zh-CN"/>
              </w:rPr>
              <w:t>3.7. Total ore studiu individual (SI) și activități de autoinstruire (AI)</w:t>
            </w:r>
          </w:p>
        </w:tc>
        <w:tc>
          <w:tcPr>
            <w:tcW w:w="3968" w:type="dxa"/>
            <w:gridSpan w:val="3"/>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0"/>
              <w:jc w:val="center"/>
              <w:outlineLvl w:val="1"/>
              <w:rPr>
                <w:rFonts w:ascii="Cambria" w:hAnsi="Cambria" w:eastAsia="Times New Roman" w:cs="Times New Roman"/>
                <w:b/>
                <w:sz w:val="20"/>
                <w:lang w:eastAsia="zh-CN"/>
              </w:rPr>
            </w:pPr>
            <w:r>
              <w:rPr>
                <w:rFonts w:eastAsia="Times New Roman" w:cs="Times New Roman" w:ascii="Cambria" w:hAnsi="Cambria"/>
                <w:b/>
                <w:sz w:val="20"/>
                <w:lang w:eastAsia="zh-CN"/>
              </w:rPr>
              <w:t>69</w:t>
            </w:r>
          </w:p>
        </w:tc>
      </w:tr>
      <w:tr>
        <w:trPr>
          <w:trHeight w:val="284" w:hRule="atLeast"/>
        </w:trPr>
        <w:tc>
          <w:tcPr>
            <w:tcW w:w="6516" w:type="dxa"/>
            <w:gridSpan w:val="4"/>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0"/>
              <w:outlineLvl w:val="1"/>
              <w:rPr>
                <w:rFonts w:ascii="Cambria" w:hAnsi="Cambria" w:eastAsia="Times New Roman" w:cs="Times New Roman"/>
                <w:b/>
                <w:sz w:val="20"/>
                <w:lang w:eastAsia="zh-CN"/>
              </w:rPr>
            </w:pPr>
            <w:r>
              <w:rPr>
                <w:rFonts w:eastAsia="Times New Roman" w:cs="Times New Roman" w:ascii="Cambria" w:hAnsi="Cambria"/>
                <w:b/>
                <w:sz w:val="20"/>
                <w:lang w:eastAsia="zh-CN"/>
              </w:rPr>
              <w:t>3.8. Total ore pe semestru</w:t>
            </w:r>
          </w:p>
        </w:tc>
        <w:tc>
          <w:tcPr>
            <w:tcW w:w="3968" w:type="dxa"/>
            <w:gridSpan w:val="3"/>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0"/>
              <w:jc w:val="center"/>
              <w:outlineLvl w:val="1"/>
              <w:rPr>
                <w:rFonts w:ascii="Cambria" w:hAnsi="Cambria" w:eastAsia="Times New Roman" w:cs="Times New Roman"/>
                <w:b/>
                <w:sz w:val="20"/>
                <w:lang w:eastAsia="zh-CN"/>
              </w:rPr>
            </w:pPr>
            <w:r>
              <w:rPr>
                <w:rFonts w:eastAsia="Times New Roman" w:cs="Times New Roman" w:ascii="Cambria" w:hAnsi="Cambria"/>
                <w:b/>
                <w:sz w:val="20"/>
                <w:lang w:eastAsia="zh-CN"/>
              </w:rPr>
              <w:t>125</w:t>
            </w:r>
          </w:p>
        </w:tc>
      </w:tr>
      <w:tr>
        <w:trPr>
          <w:trHeight w:val="284" w:hRule="atLeast"/>
        </w:trPr>
        <w:tc>
          <w:tcPr>
            <w:tcW w:w="6516" w:type="dxa"/>
            <w:gridSpan w:val="4"/>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0"/>
              <w:outlineLvl w:val="1"/>
              <w:rPr>
                <w:rFonts w:ascii="Cambria" w:hAnsi="Cambria" w:eastAsia="Times New Roman" w:cs="Times New Roman"/>
                <w:b/>
                <w:sz w:val="20"/>
                <w:lang w:eastAsia="zh-CN"/>
              </w:rPr>
            </w:pPr>
            <w:r>
              <w:rPr>
                <w:rFonts w:eastAsia="Times New Roman" w:cs="Times New Roman" w:ascii="Cambria" w:hAnsi="Cambria"/>
                <w:b/>
                <w:sz w:val="20"/>
                <w:lang w:eastAsia="zh-CN"/>
              </w:rPr>
              <w:t>3.9. Numărul de credite</w:t>
            </w:r>
          </w:p>
        </w:tc>
        <w:tc>
          <w:tcPr>
            <w:tcW w:w="3968" w:type="dxa"/>
            <w:gridSpan w:val="3"/>
            <w:tcBorders>
              <w:top w:val="single" w:sz="4" w:space="0" w:color="000000"/>
              <w:left w:val="single" w:sz="4" w:space="0" w:color="000000"/>
              <w:bottom w:val="single" w:sz="4" w:space="0" w:color="000000"/>
              <w:right w:val="single" w:sz="4" w:space="0" w:color="000000"/>
            </w:tcBorders>
            <w:vAlign w:val="center"/>
          </w:tcPr>
          <w:p>
            <w:pPr>
              <w:pStyle w:val="Normal"/>
              <w:keepNext w:val="true"/>
              <w:numPr>
                <w:ilvl w:val="0"/>
                <w:numId w:val="0"/>
              </w:numPr>
              <w:suppressAutoHyphens w:val="true"/>
              <w:spacing w:lineRule="auto" w:line="240" w:before="0" w:after="0"/>
              <w:ind w:hanging="0" w:left="0"/>
              <w:jc w:val="center"/>
              <w:outlineLvl w:val="1"/>
              <w:rPr>
                <w:rFonts w:ascii="Cambria" w:hAnsi="Cambria" w:eastAsia="Times New Roman" w:cs="Times New Roman"/>
                <w:b/>
                <w:sz w:val="20"/>
                <w:lang w:eastAsia="zh-CN"/>
              </w:rPr>
            </w:pPr>
            <w:r>
              <w:rPr>
                <w:rFonts w:eastAsia="Times New Roman" w:cs="Times New Roman" w:ascii="Cambria" w:hAnsi="Cambria"/>
                <w:b/>
                <w:sz w:val="20"/>
                <w:lang w:eastAsia="zh-CN"/>
              </w:rPr>
              <w:t>5</w:t>
            </w:r>
          </w:p>
        </w:tc>
      </w:tr>
    </w:tbl>
    <w:p>
      <w:pPr>
        <w:pStyle w:val="Normal"/>
        <w:suppressAutoHyphens w:val="true"/>
        <w:spacing w:lineRule="auto" w:line="240" w:before="0" w:after="0"/>
        <w:ind w:left="-284"/>
        <w:jc w:val="both"/>
        <w:rPr>
          <w:rFonts w:ascii="Cambria" w:hAnsi="Cambria" w:eastAsia="Times New Roman" w:cs="Times New Roman"/>
          <w:b/>
          <w:sz w:val="20"/>
          <w:lang w:eastAsia="zh-CN"/>
        </w:rPr>
      </w:pPr>
      <w:r>
        <w:rPr>
          <w:rFonts w:eastAsia="Times New Roman" w:cs="Times New Roman" w:ascii="Cambria" w:hAnsi="Cambria"/>
          <w:b/>
          <w:sz w:val="20"/>
          <w:lang w:eastAsia="zh-CN"/>
        </w:rPr>
      </w:r>
    </w:p>
    <w:p>
      <w:pPr>
        <w:pStyle w:val="Normal"/>
        <w:suppressAutoHyphens w:val="true"/>
        <w:spacing w:lineRule="auto" w:line="240" w:before="0" w:after="0"/>
        <w:ind w:hanging="142" w:left="-284"/>
        <w:jc w:val="both"/>
        <w:rPr>
          <w:rFonts w:ascii="Cambria" w:hAnsi="Cambria" w:eastAsia="Times New Roman" w:cs="Times New Roman"/>
          <w:sz w:val="20"/>
          <w:lang w:eastAsia="zh-CN"/>
        </w:rPr>
      </w:pPr>
      <w:r>
        <w:rPr>
          <w:rFonts w:eastAsia="Times New Roman" w:cs="Times New Roman" w:ascii="Cambria" w:hAnsi="Cambria"/>
          <w:b/>
          <w:sz w:val="20"/>
          <w:lang w:eastAsia="zh-CN"/>
        </w:rPr>
        <w:t xml:space="preserve">4. Precondiții </w:t>
      </w:r>
      <w:r>
        <w:rPr>
          <w:rFonts w:eastAsia="Times New Roman" w:cs="Times New Roman" w:ascii="Cambria" w:hAnsi="Cambria"/>
          <w:sz w:val="20"/>
          <w:lang w:eastAsia="zh-CN"/>
        </w:rPr>
        <w:t>(acolo unde este cazul)</w:t>
      </w:r>
    </w:p>
    <w:tbl>
      <w:tblPr>
        <w:tblW w:w="10491" w:type="dxa"/>
        <w:jc w:val="left"/>
        <w:tblInd w:w="-431" w:type="dxa"/>
        <w:tblLayout w:type="fixed"/>
        <w:tblCellMar>
          <w:top w:w="0" w:type="dxa"/>
          <w:left w:w="108" w:type="dxa"/>
          <w:bottom w:w="0" w:type="dxa"/>
          <w:right w:w="108" w:type="dxa"/>
        </w:tblCellMar>
        <w:tblLook w:firstRow="1" w:noVBand="0" w:lastRow="1" w:firstColumn="1" w:lastColumn="1" w:noHBand="0" w:val="01e0"/>
      </w:tblPr>
      <w:tblGrid>
        <w:gridCol w:w="1844"/>
        <w:gridCol w:w="8646"/>
      </w:tblGrid>
      <w:tr>
        <w:trPr>
          <w:trHeight w:val="284" w:hRule="atLeast"/>
        </w:trPr>
        <w:tc>
          <w:tcPr>
            <w:tcW w:w="184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rPr>
                <w:rFonts w:ascii="Cambria" w:hAnsi="Cambria" w:eastAsia="Times New Roman" w:cs="Times New Roman"/>
                <w:sz w:val="20"/>
                <w:lang w:eastAsia="zh-CN"/>
              </w:rPr>
            </w:pPr>
            <w:r>
              <w:rPr>
                <w:rFonts w:eastAsia="Times New Roman" w:cs="Times New Roman" w:ascii="Cambria" w:hAnsi="Cambria"/>
                <w:sz w:val="20"/>
                <w:lang w:eastAsia="zh-CN"/>
              </w:rPr>
              <w:t>4.1. de curriculum</w:t>
            </w:r>
          </w:p>
        </w:tc>
        <w:tc>
          <w:tcPr>
            <w:tcW w:w="8646"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ind w:left="72"/>
              <w:rPr>
                <w:rFonts w:ascii="Cambria" w:hAnsi="Cambria" w:eastAsia="Times New Roman" w:cs="Times New Roman"/>
                <w:color w:val="000000"/>
                <w:sz w:val="20"/>
                <w:lang w:eastAsia="zh-CN"/>
              </w:rPr>
            </w:pPr>
            <w:r>
              <w:rPr>
                <w:rFonts w:eastAsia="Times New Roman" w:cs="Times New Roman" w:ascii="Cambria" w:hAnsi="Cambria"/>
                <w:color w:val="000000"/>
                <w:sz w:val="20"/>
                <w:lang w:eastAsia="zh-CN"/>
              </w:rPr>
              <w:t>Matematica de liceu (programa M2 sau programa M1)</w:t>
            </w:r>
          </w:p>
        </w:tc>
      </w:tr>
      <w:tr>
        <w:trPr>
          <w:trHeight w:val="284" w:hRule="atLeast"/>
        </w:trPr>
        <w:tc>
          <w:tcPr>
            <w:tcW w:w="184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rPr>
                <w:rFonts w:ascii="Cambria" w:hAnsi="Cambria" w:eastAsia="Times New Roman" w:cs="Times New Roman"/>
                <w:sz w:val="20"/>
                <w:lang w:eastAsia="zh-CN"/>
              </w:rPr>
            </w:pPr>
            <w:r>
              <w:rPr>
                <w:rFonts w:eastAsia="Times New Roman" w:cs="Times New Roman" w:ascii="Cambria" w:hAnsi="Cambria"/>
                <w:sz w:val="20"/>
                <w:lang w:eastAsia="zh-CN"/>
              </w:rPr>
              <w:t>4.2. de competențe</w:t>
            </w:r>
          </w:p>
        </w:tc>
        <w:tc>
          <w:tcPr>
            <w:tcW w:w="8646"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ind w:left="72"/>
              <w:rPr>
                <w:rFonts w:ascii="Cambria" w:hAnsi="Cambria" w:eastAsia="Times New Roman" w:cs="Times New Roman"/>
                <w:sz w:val="20"/>
                <w:lang w:eastAsia="zh-CN"/>
              </w:rPr>
            </w:pPr>
            <w:r>
              <w:rPr>
                <w:rFonts w:eastAsia="Times New Roman" w:cs="Times New Roman" w:ascii="Cambria" w:hAnsi="Cambria"/>
                <w:sz w:val="20"/>
                <w:lang w:eastAsia="zh-CN"/>
              </w:rPr>
              <w:t>Gândire matematică, modelare, problematizare</w:t>
            </w:r>
          </w:p>
        </w:tc>
      </w:tr>
    </w:tbl>
    <w:p>
      <w:pPr>
        <w:pStyle w:val="Normal"/>
        <w:suppressAutoHyphens w:val="true"/>
        <w:spacing w:lineRule="auto" w:line="240" w:before="0" w:after="0"/>
        <w:ind w:hanging="426" w:right="-766"/>
        <w:rPr>
          <w:rFonts w:ascii="Cambria" w:hAnsi="Cambria" w:eastAsia="Times New Roman" w:cs="Times New Roman"/>
          <w:b/>
          <w:sz w:val="20"/>
          <w:lang w:eastAsia="zh-CN"/>
        </w:rPr>
      </w:pPr>
      <w:r>
        <w:rPr>
          <w:rFonts w:eastAsia="Times New Roman" w:cs="Times New Roman" w:ascii="Cambria" w:hAnsi="Cambria"/>
          <w:b/>
          <w:sz w:val="20"/>
          <w:lang w:eastAsia="zh-CN"/>
        </w:rPr>
      </w:r>
    </w:p>
    <w:p>
      <w:pPr>
        <w:pStyle w:val="Normal"/>
        <w:suppressAutoHyphens w:val="true"/>
        <w:spacing w:lineRule="auto" w:line="240" w:before="0" w:after="0"/>
        <w:ind w:hanging="426"/>
        <w:rPr>
          <w:rFonts w:ascii="Cambria" w:hAnsi="Cambria"/>
          <w:sz w:val="20"/>
          <w:szCs w:val="20"/>
        </w:rPr>
      </w:pPr>
      <w:r>
        <w:rPr>
          <w:rFonts w:eastAsia="Times New Roman" w:cs="Times New Roman" w:ascii="Cambria" w:hAnsi="Cambria"/>
          <w:b/>
          <w:sz w:val="20"/>
          <w:lang w:eastAsia="zh-CN"/>
        </w:rPr>
        <w:t xml:space="preserve">5. Condiții </w:t>
      </w:r>
      <w:r>
        <w:rPr>
          <w:rFonts w:eastAsia="Times New Roman" w:cs="Times New Roman" w:ascii="Cambria" w:hAnsi="Cambria"/>
          <w:sz w:val="20"/>
          <w:lang w:eastAsia="zh-CN"/>
        </w:rPr>
        <w:t xml:space="preserve">(acolo </w:t>
      </w:r>
      <w:r>
        <w:rPr>
          <w:rFonts w:ascii="Cambria" w:hAnsi="Cambria"/>
          <w:sz w:val="20"/>
          <w:szCs w:val="20"/>
        </w:rPr>
        <w:t>unde este cazul)</w:t>
      </w:r>
    </w:p>
    <w:tbl>
      <w:tblPr>
        <w:tblW w:w="10439" w:type="dxa"/>
        <w:jc w:val="left"/>
        <w:tblInd w:w="-431" w:type="dxa"/>
        <w:tblLayout w:type="fixed"/>
        <w:tblCellMar>
          <w:top w:w="0" w:type="dxa"/>
          <w:left w:w="108" w:type="dxa"/>
          <w:bottom w:w="0" w:type="dxa"/>
          <w:right w:w="108" w:type="dxa"/>
        </w:tblCellMar>
        <w:tblLook w:firstRow="1" w:noVBand="0" w:lastRow="1" w:firstColumn="1" w:lastColumn="1" w:noHBand="0" w:val="01e0"/>
      </w:tblPr>
      <w:tblGrid>
        <w:gridCol w:w="4394"/>
        <w:gridCol w:w="6044"/>
      </w:tblGrid>
      <w:tr>
        <w:trPr>
          <w:trHeight w:val="284"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rPr>
                <w:rFonts w:ascii="Cambria" w:hAnsi="Cambria" w:eastAsia="Times New Roman" w:cs="Times New Roman"/>
                <w:sz w:val="20"/>
                <w:lang w:eastAsia="zh-CN"/>
              </w:rPr>
            </w:pPr>
            <w:r>
              <w:rPr>
                <w:rFonts w:eastAsia="Times New Roman" w:cs="Times New Roman" w:ascii="Cambria" w:hAnsi="Cambria"/>
                <w:sz w:val="20"/>
                <w:lang w:eastAsia="zh-CN"/>
              </w:rPr>
              <w:t>5.1. de desfășurare a cursului</w:t>
            </w:r>
          </w:p>
        </w:tc>
        <w:tc>
          <w:tcPr>
            <w:tcW w:w="604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rPr>
                <w:rFonts w:ascii="Cambria" w:hAnsi="Cambria" w:eastAsia="Times New Roman" w:cs="Times New Roman"/>
                <w:sz w:val="20"/>
                <w:lang w:val="ro-RO" w:eastAsia="zh-CN"/>
              </w:rPr>
            </w:pPr>
            <w:r>
              <w:rPr>
                <w:rFonts w:eastAsia="Times New Roman" w:cs="Times New Roman" w:ascii="Cambria" w:hAnsi="Cambria"/>
                <w:sz w:val="20"/>
                <w:lang w:val="ro-RO" w:eastAsia="zh-CN"/>
              </w:rPr>
              <w:t>Sală de curs cu infrastructură adecvată</w:t>
            </w:r>
          </w:p>
        </w:tc>
      </w:tr>
      <w:tr>
        <w:trPr>
          <w:trHeight w:val="284"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rPr>
                <w:rFonts w:ascii="Cambria" w:hAnsi="Cambria" w:eastAsia="Times New Roman" w:cs="Times New Roman"/>
                <w:sz w:val="20"/>
                <w:lang w:eastAsia="zh-CN"/>
              </w:rPr>
            </w:pPr>
            <w:r>
              <w:rPr>
                <w:rFonts w:eastAsia="Times New Roman" w:cs="Times New Roman" w:ascii="Cambria" w:hAnsi="Cambria"/>
                <w:sz w:val="20"/>
                <w:lang w:eastAsia="zh-CN"/>
              </w:rPr>
              <w:t>5.2. de desfășurare a seminarului/ laboratorului</w:t>
            </w:r>
          </w:p>
        </w:tc>
        <w:tc>
          <w:tcPr>
            <w:tcW w:w="6044"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spacing w:lineRule="auto" w:line="240" w:before="0" w:after="0"/>
              <w:rPr>
                <w:rFonts w:ascii="Cambria" w:hAnsi="Cambria" w:eastAsia="Times New Roman" w:cs="Times New Roman"/>
                <w:sz w:val="20"/>
                <w:lang w:val="ro-RO" w:eastAsia="zh-CN"/>
              </w:rPr>
            </w:pPr>
            <w:r>
              <w:rPr>
                <w:rFonts w:eastAsia="Times New Roman" w:cs="Times New Roman" w:ascii="Cambria" w:hAnsi="Cambria"/>
                <w:sz w:val="20"/>
                <w:lang w:val="ro-RO" w:eastAsia="zh-CN"/>
              </w:rPr>
              <w:t>Sală de seminar cu infrastructură adecvată</w:t>
            </w:r>
          </w:p>
        </w:tc>
      </w:tr>
    </w:tbl>
    <w:p>
      <w:pPr>
        <w:pStyle w:val="Normal"/>
        <w:suppressAutoHyphens w:val="true"/>
        <w:spacing w:lineRule="auto" w:line="240" w:before="0" w:after="0"/>
        <w:ind w:hanging="426"/>
        <w:rPr>
          <w:rFonts w:ascii="Cambria" w:hAnsi="Cambria" w:eastAsia="Times New Roman" w:cs="Times New Roman"/>
          <w:b/>
          <w:sz w:val="20"/>
          <w:lang w:eastAsia="zh-CN"/>
        </w:rPr>
      </w:pPr>
      <w:r>
        <w:rPr>
          <w:rFonts w:eastAsia="Times New Roman" w:cs="Times New Roman" w:ascii="Cambria" w:hAnsi="Cambria"/>
          <w:b/>
          <w:sz w:val="20"/>
          <w:lang w:eastAsia="zh-CN"/>
        </w:rPr>
      </w:r>
    </w:p>
    <w:p>
      <w:pPr>
        <w:pStyle w:val="Normal"/>
        <w:suppressAutoHyphens w:val="true"/>
        <w:spacing w:lineRule="auto" w:line="240" w:before="0" w:after="0"/>
        <w:ind w:hanging="426"/>
        <w:rPr>
          <w:rFonts w:ascii="Cambria" w:hAnsi="Cambria" w:eastAsia="Times New Roman" w:cs="Times New Roman"/>
          <w:bCs/>
          <w:sz w:val="20"/>
          <w:lang w:eastAsia="zh-CN"/>
        </w:rPr>
      </w:pPr>
      <w:r>
        <w:rPr>
          <w:rFonts w:eastAsia="Times New Roman" w:cs="Times New Roman" w:ascii="Cambria" w:hAnsi="Cambria"/>
          <w:b/>
          <w:sz w:val="20"/>
          <w:lang w:eastAsia="zh-CN"/>
        </w:rPr>
        <w:t xml:space="preserve">6.1. Competențele dobândite în urma absolvirii programului de studii </w:t>
      </w:r>
      <w:r>
        <w:rPr>
          <w:rFonts w:eastAsia="Times New Roman" w:cs="Times New Roman" w:ascii="Cambria" w:hAnsi="Cambria"/>
          <w:bCs/>
          <w:sz w:val="20"/>
          <w:lang w:eastAsia="zh-CN"/>
        </w:rPr>
        <w:t>(se preiau din planul de învățământ)</w:t>
      </w:r>
      <w:r>
        <w:rPr>
          <w:rStyle w:val="FootnoteReference"/>
          <w:rFonts w:eastAsia="Times New Roman" w:cs="Times New Roman" w:ascii="Cambria" w:hAnsi="Cambria"/>
          <w:bCs/>
          <w:sz w:val="20"/>
          <w:vertAlign w:val="superscript"/>
          <w:lang w:eastAsia="zh-CN"/>
        </w:rPr>
        <w:footnoteReference w:id="2"/>
      </w:r>
    </w:p>
    <w:tbl>
      <w:tblPr>
        <w:tblW w:w="10491" w:type="dxa"/>
        <w:jc w:val="left"/>
        <w:tblInd w:w="-431" w:type="dxa"/>
        <w:tblLayout w:type="fixed"/>
        <w:tblCellMar>
          <w:top w:w="0" w:type="dxa"/>
          <w:left w:w="108" w:type="dxa"/>
          <w:bottom w:w="0" w:type="dxa"/>
          <w:right w:w="108" w:type="dxa"/>
        </w:tblCellMar>
        <w:tblLook w:firstRow="1" w:noVBand="0" w:lastRow="1" w:firstColumn="1" w:lastColumn="1" w:noHBand="0" w:val="01e0"/>
      </w:tblPr>
      <w:tblGrid>
        <w:gridCol w:w="1419"/>
        <w:gridCol w:w="9071"/>
      </w:tblGrid>
      <w:tr>
        <w:trPr>
          <w:trHeight w:val="397" w:hRule="atLeast"/>
          <w:cantSplit w:val="true"/>
        </w:trPr>
        <w:tc>
          <w:tcPr>
            <w:tcW w:w="1049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Cambria" w:hAnsi="Cambria"/>
                <w:sz w:val="20"/>
                <w:szCs w:val="20"/>
              </w:rPr>
            </w:pPr>
            <w:r>
              <w:rPr>
                <w:rFonts w:ascii="Cambria" w:hAnsi="Cambria"/>
                <w:b/>
                <w:sz w:val="20"/>
                <w:szCs w:val="20"/>
              </w:rPr>
              <w:t>Competențe profesionale</w:t>
            </w:r>
          </w:p>
        </w:tc>
      </w:tr>
      <w:tr>
        <w:trPr>
          <w:trHeight w:val="397" w:hRule="atLeast"/>
          <w:cantSplit w:val="true"/>
        </w:trPr>
        <w:tc>
          <w:tcPr>
            <w:tcW w:w="141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Cambria" w:hAnsi="Cambria"/>
                <w:b/>
                <w:sz w:val="20"/>
                <w:szCs w:val="20"/>
              </w:rPr>
            </w:pPr>
            <w:r>
              <w:rPr>
                <w:rFonts w:ascii="Cambria" w:hAnsi="Cambria"/>
                <w:b/>
                <w:sz w:val="20"/>
                <w:szCs w:val="20"/>
              </w:rPr>
              <w:t>Codul competenței</w:t>
            </w:r>
          </w:p>
        </w:tc>
        <w:tc>
          <w:tcPr>
            <w:tcW w:w="907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Cambria" w:hAnsi="Cambria"/>
                <w:b/>
                <w:bCs/>
                <w:sz w:val="20"/>
                <w:szCs w:val="20"/>
              </w:rPr>
            </w:pPr>
            <w:r>
              <w:rPr>
                <w:rFonts w:ascii="Cambria" w:hAnsi="Cambria"/>
                <w:b/>
                <w:bCs/>
                <w:sz w:val="20"/>
                <w:szCs w:val="20"/>
              </w:rPr>
              <w:t>Competență</w:t>
            </w:r>
          </w:p>
        </w:tc>
      </w:tr>
      <w:tr>
        <w:trPr>
          <w:trHeight w:val="397" w:hRule="atLeast"/>
          <w:cantSplit w:val="true"/>
        </w:trPr>
        <w:tc>
          <w:tcPr>
            <w:tcW w:w="141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color w:val="000000"/>
              </w:rPr>
            </w:pPr>
            <w:r>
              <w:rPr>
                <w:rFonts w:ascii="Cambria" w:hAnsi="Cambria"/>
                <w:b/>
                <w:color w:val="000000"/>
                <w:sz w:val="20"/>
                <w:szCs w:val="20"/>
              </w:rPr>
              <w:t>CP1</w:t>
            </w:r>
          </w:p>
        </w:tc>
        <w:tc>
          <w:tcPr>
            <w:tcW w:w="907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i w:val="false"/>
                <w:i w:val="false"/>
                <w:iCs w:val="false"/>
              </w:rPr>
            </w:pPr>
            <w:r>
              <w:rPr>
                <w:rFonts w:ascii="Cambria" w:hAnsi="Cambria"/>
                <w:i w:val="false"/>
                <w:iCs w:val="false"/>
                <w:sz w:val="20"/>
                <w:szCs w:val="20"/>
              </w:rPr>
              <w:t>Aplică cunoștințele științifice referitoare la chimie pentru a dezvolta cunoștințe noi sau produse pentru îmbunătățirea calității și a procesului de control.</w:t>
            </w:r>
          </w:p>
          <w:p>
            <w:pPr>
              <w:pStyle w:val="Normal"/>
              <w:spacing w:lineRule="auto" w:line="240" w:before="0" w:after="0"/>
              <w:rPr>
                <w:rFonts w:ascii="Cambria" w:hAnsi="Cambria"/>
                <w:i/>
                <w:i/>
                <w:iCs/>
                <w:sz w:val="20"/>
                <w:szCs w:val="20"/>
              </w:rPr>
            </w:pPr>
            <w:r>
              <w:rPr>
                <w:rFonts w:ascii="Cambria" w:hAnsi="Cambria"/>
                <w:i/>
                <w:iCs/>
                <w:sz w:val="20"/>
                <w:szCs w:val="20"/>
              </w:rPr>
              <w:t>Apply scientific knowledge related to chemistry in order to develop new knowledge or products to improve quality and process control.</w:t>
            </w:r>
          </w:p>
        </w:tc>
      </w:tr>
      <w:tr>
        <w:trPr>
          <w:trHeight w:val="397" w:hRule="atLeast"/>
          <w:cantSplit w:val="true"/>
        </w:trPr>
        <w:tc>
          <w:tcPr>
            <w:tcW w:w="141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color w:val="000000"/>
              </w:rPr>
            </w:pPr>
            <w:r>
              <w:rPr>
                <w:rFonts w:ascii="Cambria" w:hAnsi="Cambria"/>
                <w:b/>
                <w:color w:val="000000"/>
                <w:sz w:val="20"/>
                <w:szCs w:val="20"/>
              </w:rPr>
              <w:t>CP13</w:t>
            </w:r>
          </w:p>
        </w:tc>
        <w:tc>
          <w:tcPr>
            <w:tcW w:w="907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i w:val="false"/>
                <w:i w:val="false"/>
                <w:iCs w:val="false"/>
              </w:rPr>
            </w:pPr>
            <w:r>
              <w:rPr>
                <w:rFonts w:ascii="Cambria" w:hAnsi="Cambria"/>
                <w:i w:val="false"/>
                <w:iCs w:val="false"/>
                <w:sz w:val="20"/>
                <w:szCs w:val="20"/>
              </w:rPr>
              <w:t>Promovează inovarea și transferul de cunoștințe.</w:t>
            </w:r>
          </w:p>
          <w:p>
            <w:pPr>
              <w:pStyle w:val="Normal"/>
              <w:spacing w:lineRule="auto" w:line="240" w:before="0" w:after="0"/>
              <w:rPr>
                <w:rFonts w:ascii="Cambria" w:hAnsi="Cambria"/>
                <w:sz w:val="20"/>
                <w:szCs w:val="20"/>
              </w:rPr>
            </w:pPr>
            <w:r>
              <w:rPr>
                <w:rFonts w:ascii="Cambria" w:hAnsi="Cambria"/>
                <w:i/>
                <w:iCs/>
                <w:sz w:val="20"/>
                <w:szCs w:val="20"/>
              </w:rPr>
              <w:t>Promote de innovation in research and the transfer of knowledge.</w:t>
            </w:r>
          </w:p>
        </w:tc>
      </w:tr>
      <w:tr>
        <w:trPr>
          <w:trHeight w:val="397" w:hRule="atLeast"/>
          <w:cantSplit w:val="true"/>
        </w:trPr>
        <w:tc>
          <w:tcPr>
            <w:tcW w:w="1419" w:type="dxa"/>
            <w:tcBorders>
              <w:left w:val="single" w:sz="4" w:space="0" w:color="000000"/>
              <w:bottom w:val="single" w:sz="4" w:space="0" w:color="000000"/>
              <w:right w:val="single" w:sz="4" w:space="0" w:color="000000"/>
            </w:tcBorders>
            <w:vAlign w:val="center"/>
          </w:tcPr>
          <w:p>
            <w:pPr>
              <w:pStyle w:val="Normal"/>
              <w:spacing w:lineRule="auto" w:line="240" w:before="0" w:after="0"/>
              <w:jc w:val="center"/>
              <w:rPr>
                <w:rFonts w:ascii="Cambria" w:hAnsi="Cambria"/>
                <w:b/>
                <w:bCs/>
                <w:color w:val="000000"/>
                <w:sz w:val="20"/>
                <w:szCs w:val="20"/>
                <w:lang w:val="en-US"/>
              </w:rPr>
            </w:pPr>
            <w:r>
              <w:rPr>
                <w:rFonts w:ascii="Cambria" w:hAnsi="Cambria"/>
                <w:b/>
                <w:bCs/>
                <w:color w:val="000000"/>
                <w:sz w:val="20"/>
                <w:szCs w:val="20"/>
                <w:lang w:val="en-US"/>
              </w:rPr>
              <w:t>CP14</w:t>
            </w:r>
          </w:p>
        </w:tc>
        <w:tc>
          <w:tcPr>
            <w:tcW w:w="9071" w:type="dxa"/>
            <w:tcBorders>
              <w:left w:val="single" w:sz="4" w:space="0" w:color="000000"/>
              <w:bottom w:val="single" w:sz="4" w:space="0" w:color="000000"/>
              <w:right w:val="single" w:sz="4" w:space="0" w:color="000000"/>
            </w:tcBorders>
            <w:vAlign w:val="center"/>
          </w:tcPr>
          <w:p>
            <w:pPr>
              <w:pStyle w:val="Normal"/>
              <w:spacing w:lineRule="auto" w:line="240" w:before="0" w:after="0"/>
              <w:rPr>
                <w:rFonts w:ascii="Cambria" w:hAnsi="Cambria"/>
                <w:i w:val="false"/>
                <w:i w:val="false"/>
                <w:iCs w:val="false"/>
                <w:sz w:val="20"/>
                <w:szCs w:val="20"/>
              </w:rPr>
            </w:pPr>
            <w:r>
              <w:rPr>
                <w:rFonts w:ascii="Cambria" w:hAnsi="Cambria"/>
                <w:i w:val="false"/>
                <w:iCs w:val="false"/>
                <w:sz w:val="20"/>
                <w:szCs w:val="20"/>
              </w:rPr>
              <w:t>Redactează lucrări stiințifice, academice și documentație tehnică.</w:t>
            </w:r>
          </w:p>
          <w:p>
            <w:pPr>
              <w:pStyle w:val="Normal"/>
              <w:spacing w:lineRule="auto" w:line="240" w:before="0" w:after="0"/>
              <w:rPr>
                <w:rFonts w:ascii="Cambria" w:hAnsi="Cambria"/>
                <w:i/>
                <w:i/>
                <w:iCs/>
                <w:sz w:val="20"/>
                <w:szCs w:val="20"/>
              </w:rPr>
            </w:pPr>
            <w:r>
              <w:rPr>
                <w:rFonts w:ascii="Cambria" w:hAnsi="Cambria"/>
                <w:i/>
                <w:iCs/>
                <w:sz w:val="20"/>
                <w:szCs w:val="20"/>
              </w:rPr>
              <w:t>Write scientific and academic publications and technical reports.</w:t>
            </w:r>
          </w:p>
        </w:tc>
      </w:tr>
      <w:tr>
        <w:trPr>
          <w:trHeight w:val="397" w:hRule="atLeast"/>
          <w:cantSplit w:val="true"/>
        </w:trPr>
        <w:tc>
          <w:tcPr>
            <w:tcW w:w="1049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Cambria" w:hAnsi="Cambria"/>
                <w:sz w:val="20"/>
                <w:szCs w:val="20"/>
              </w:rPr>
            </w:pPr>
            <w:r>
              <w:rPr>
                <w:rFonts w:ascii="Cambria" w:hAnsi="Cambria"/>
                <w:b/>
                <w:sz w:val="20"/>
                <w:szCs w:val="20"/>
              </w:rPr>
              <w:t>Competențe transversale</w:t>
            </w:r>
          </w:p>
        </w:tc>
      </w:tr>
      <w:tr>
        <w:trPr>
          <w:trHeight w:val="397" w:hRule="atLeast"/>
          <w:cantSplit w:val="true"/>
        </w:trPr>
        <w:tc>
          <w:tcPr>
            <w:tcW w:w="141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Cambria" w:hAnsi="Cambria"/>
                <w:b/>
                <w:sz w:val="20"/>
                <w:szCs w:val="20"/>
              </w:rPr>
            </w:pPr>
            <w:r>
              <w:rPr>
                <w:rFonts w:ascii="Cambria" w:hAnsi="Cambria"/>
                <w:b/>
                <w:sz w:val="20"/>
                <w:szCs w:val="20"/>
              </w:rPr>
              <w:t>Codul competenței</w:t>
            </w:r>
          </w:p>
        </w:tc>
        <w:tc>
          <w:tcPr>
            <w:tcW w:w="907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Cambria" w:hAnsi="Cambria"/>
                <w:b/>
                <w:sz w:val="20"/>
                <w:szCs w:val="20"/>
              </w:rPr>
            </w:pPr>
            <w:r>
              <w:rPr>
                <w:rFonts w:ascii="Cambria" w:hAnsi="Cambria"/>
                <w:b/>
                <w:bCs/>
                <w:sz w:val="20"/>
                <w:szCs w:val="20"/>
              </w:rPr>
              <w:t>Competență</w:t>
            </w:r>
          </w:p>
        </w:tc>
      </w:tr>
      <w:tr>
        <w:trPr>
          <w:trHeight w:val="397" w:hRule="atLeast"/>
          <w:cantSplit w:val="true"/>
        </w:trPr>
        <w:tc>
          <w:tcPr>
            <w:tcW w:w="141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color w:val="000000"/>
              </w:rPr>
            </w:pPr>
            <w:r>
              <w:rPr>
                <w:rFonts w:ascii="Cambria" w:hAnsi="Cambria"/>
                <w:b/>
                <w:color w:val="000000"/>
                <w:sz w:val="20"/>
                <w:szCs w:val="20"/>
              </w:rPr>
              <w:t>CT1</w:t>
            </w:r>
          </w:p>
        </w:tc>
        <w:tc>
          <w:tcPr>
            <w:tcW w:w="907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Cambria" w:hAnsi="Cambria"/>
                <w:sz w:val="20"/>
                <w:szCs w:val="20"/>
              </w:rPr>
            </w:pPr>
            <w:r>
              <w:rPr>
                <w:rFonts w:ascii="Cambria" w:hAnsi="Cambria"/>
                <w:i w:val="false"/>
                <w:iCs w:val="false"/>
                <w:sz w:val="20"/>
                <w:szCs w:val="20"/>
                <w:lang w:val="en-US"/>
              </w:rPr>
              <w:t>Realizarea sarcinilor profesionale în mod eficient şi responsabil cu respectarea legislaţiei şi deontologiei specifice domeniului sub asistenţă calificată.</w:t>
            </w:r>
          </w:p>
          <w:p>
            <w:pPr>
              <w:pStyle w:val="Normal"/>
              <w:spacing w:lineRule="auto" w:line="240" w:before="0" w:after="0"/>
              <w:rPr>
                <w:rFonts w:ascii="Cambria" w:hAnsi="Cambria"/>
                <w:sz w:val="20"/>
                <w:szCs w:val="20"/>
              </w:rPr>
            </w:pPr>
            <w:r>
              <w:rPr>
                <w:rFonts w:ascii="Cambria" w:hAnsi="Cambria"/>
                <w:i/>
                <w:iCs/>
                <w:sz w:val="20"/>
                <w:szCs w:val="20"/>
                <w:lang w:val="en-US"/>
              </w:rPr>
              <w:t>Achievement of professional tasks effectively and responsibly according to the legal regulations and ethics specific to the field under qualified assistance.</w:t>
            </w:r>
          </w:p>
        </w:tc>
      </w:tr>
    </w:tbl>
    <w:p>
      <w:pPr>
        <w:pStyle w:val="Normal"/>
        <w:spacing w:before="0" w:after="0"/>
        <w:ind w:hanging="425"/>
        <w:rPr>
          <w:rFonts w:ascii="Cambria" w:hAnsi="Cambria"/>
          <w:b/>
          <w:sz w:val="20"/>
          <w:szCs w:val="20"/>
        </w:rPr>
      </w:pPr>
      <w:r>
        <w:rPr>
          <w:rFonts w:ascii="Cambria" w:hAnsi="Cambria"/>
          <w:b/>
          <w:sz w:val="20"/>
          <w:szCs w:val="20"/>
        </w:rPr>
      </w:r>
    </w:p>
    <w:p>
      <w:pPr>
        <w:pStyle w:val="Normal"/>
        <w:spacing w:before="0" w:after="0"/>
        <w:ind w:hanging="425"/>
        <w:rPr>
          <w:rFonts w:ascii="Cambria" w:hAnsi="Cambria"/>
          <w:bCs/>
          <w:sz w:val="20"/>
          <w:szCs w:val="20"/>
        </w:rPr>
      </w:pPr>
      <w:r>
        <w:rPr>
          <w:rFonts w:ascii="Cambria" w:hAnsi="Cambria"/>
          <w:b/>
          <w:sz w:val="20"/>
          <w:szCs w:val="20"/>
        </w:rPr>
        <w:t xml:space="preserve">6.2. Rezultatele învățării specifice programului de studii </w:t>
      </w:r>
      <w:r>
        <w:rPr>
          <w:rFonts w:eastAsia="Times New Roman" w:cs="Times New Roman" w:ascii="Cambria" w:hAnsi="Cambria"/>
          <w:bCs/>
          <w:sz w:val="20"/>
          <w:lang w:eastAsia="zh-CN"/>
        </w:rPr>
        <w:t>(se preiau din planul de învățământ)</w:t>
      </w:r>
      <w:r>
        <w:rPr>
          <w:rStyle w:val="FootnoteReference"/>
          <w:rFonts w:ascii="Cambria" w:hAnsi="Cambria"/>
          <w:bCs/>
          <w:sz w:val="20"/>
          <w:szCs w:val="20"/>
        </w:rPr>
        <w:footnoteReference w:id="3"/>
      </w:r>
    </w:p>
    <w:tbl>
      <w:tblPr>
        <w:tblW w:w="10491" w:type="dxa"/>
        <w:jc w:val="left"/>
        <w:tblInd w:w="-431" w:type="dxa"/>
        <w:tblLayout w:type="fixed"/>
        <w:tblCellMar>
          <w:top w:w="0" w:type="dxa"/>
          <w:left w:w="108" w:type="dxa"/>
          <w:bottom w:w="0" w:type="dxa"/>
          <w:right w:w="108" w:type="dxa"/>
        </w:tblCellMar>
        <w:tblLook w:firstRow="1" w:noVBand="0" w:lastRow="1" w:firstColumn="1" w:lastColumn="1" w:noHBand="0" w:val="01e0"/>
      </w:tblPr>
      <w:tblGrid>
        <w:gridCol w:w="1419"/>
        <w:gridCol w:w="4809"/>
        <w:gridCol w:w="4263"/>
      </w:tblGrid>
      <w:tr>
        <w:trPr>
          <w:trHeight w:val="397" w:hRule="atLeast"/>
          <w:cantSplit w:val="true"/>
        </w:trPr>
        <w:tc>
          <w:tcPr>
            <w:tcW w:w="10491"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Cambria" w:hAnsi="Cambria"/>
                <w:b/>
                <w:bCs/>
                <w:sz w:val="20"/>
                <w:szCs w:val="20"/>
              </w:rPr>
            </w:pPr>
            <w:r>
              <w:rPr>
                <w:rFonts w:ascii="Cambria" w:hAnsi="Cambria"/>
                <w:b/>
                <w:bCs/>
                <w:sz w:val="20"/>
                <w:szCs w:val="20"/>
              </w:rPr>
              <w:t>Rezultatele învățării vizate prin disciplină</w:t>
            </w:r>
          </w:p>
        </w:tc>
      </w:tr>
      <w:tr>
        <w:trPr>
          <w:trHeight w:val="397" w:hRule="atLeast"/>
          <w:cantSplit w:val="true"/>
        </w:trPr>
        <w:tc>
          <w:tcPr>
            <w:tcW w:w="141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Cambria" w:hAnsi="Cambria"/>
                <w:b/>
                <w:bCs/>
                <w:sz w:val="20"/>
                <w:szCs w:val="20"/>
              </w:rPr>
            </w:pPr>
            <w:r>
              <w:rPr>
                <w:rFonts w:ascii="Cambria" w:hAnsi="Cambria"/>
                <w:b/>
                <w:sz w:val="20"/>
                <w:szCs w:val="20"/>
              </w:rPr>
              <w:t>Codul competenței</w:t>
            </w:r>
          </w:p>
        </w:tc>
        <w:tc>
          <w:tcPr>
            <w:tcW w:w="480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Cambria" w:hAnsi="Cambria"/>
                <w:b/>
                <w:sz w:val="20"/>
                <w:szCs w:val="20"/>
              </w:rPr>
            </w:pPr>
            <w:r>
              <w:rPr>
                <w:rFonts w:ascii="Cambria" w:hAnsi="Cambria"/>
                <w:b/>
                <w:sz w:val="20"/>
                <w:szCs w:val="20"/>
              </w:rPr>
              <w:t>Cunoștințe și înțelegere</w:t>
            </w:r>
          </w:p>
          <w:p>
            <w:pPr>
              <w:pStyle w:val="Normal"/>
              <w:spacing w:lineRule="auto" w:line="240" w:before="0" w:after="0"/>
              <w:jc w:val="center"/>
              <w:rPr>
                <w:rFonts w:ascii="Cambria" w:hAnsi="Cambria"/>
                <w:b/>
                <w:bCs/>
                <w:sz w:val="20"/>
                <w:szCs w:val="20"/>
              </w:rPr>
            </w:pPr>
            <w:r>
              <w:rPr>
                <w:rFonts w:ascii="Cambria" w:hAnsi="Cambria"/>
                <w:b/>
                <w:sz w:val="20"/>
                <w:szCs w:val="20"/>
              </w:rPr>
              <w:t>(Knowledge and understanding)</w:t>
            </w:r>
          </w:p>
        </w:tc>
        <w:tc>
          <w:tcPr>
            <w:tcW w:w="426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Cambria" w:hAnsi="Cambria"/>
                <w:b/>
                <w:sz w:val="20"/>
                <w:szCs w:val="20"/>
              </w:rPr>
            </w:pPr>
            <w:r>
              <w:rPr>
                <w:rFonts w:ascii="Cambria" w:hAnsi="Cambria"/>
                <w:b/>
                <w:sz w:val="20"/>
                <w:szCs w:val="20"/>
              </w:rPr>
              <w:t>Abilități academice specifice</w:t>
            </w:r>
          </w:p>
          <w:p>
            <w:pPr>
              <w:pStyle w:val="Normal"/>
              <w:spacing w:lineRule="auto" w:line="240" w:before="0" w:after="0"/>
              <w:jc w:val="center"/>
              <w:rPr>
                <w:rFonts w:ascii="Cambria" w:hAnsi="Cambria"/>
                <w:b/>
                <w:bCs/>
                <w:sz w:val="20"/>
                <w:szCs w:val="20"/>
              </w:rPr>
            </w:pPr>
            <w:r>
              <w:rPr>
                <w:rFonts w:ascii="Cambria" w:hAnsi="Cambria"/>
                <w:b/>
                <w:sz w:val="20"/>
                <w:szCs w:val="20"/>
              </w:rPr>
              <w:t>(Specific academic skills)</w:t>
            </w:r>
          </w:p>
        </w:tc>
      </w:tr>
      <w:tr>
        <w:trPr>
          <w:trHeight w:val="397" w:hRule="atLeast"/>
          <w:cantSplit w:val="true"/>
        </w:trPr>
        <w:tc>
          <w:tcPr>
            <w:tcW w:w="141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color w:val="000000"/>
              </w:rPr>
            </w:pPr>
            <w:r>
              <w:rPr>
                <w:rFonts w:ascii="Cambria" w:hAnsi="Cambria"/>
                <w:b/>
                <w:color w:val="000000"/>
                <w:sz w:val="20"/>
                <w:szCs w:val="20"/>
              </w:rPr>
              <w:t>CT2-CT3</w:t>
            </w:r>
          </w:p>
        </w:tc>
        <w:tc>
          <w:tcPr>
            <w:tcW w:w="480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Cambria" w:hAnsi="Cambria"/>
                <w:i/>
                <w:i/>
                <w:iCs/>
                <w:sz w:val="20"/>
                <w:szCs w:val="20"/>
                <w:lang w:val="en-US"/>
              </w:rPr>
            </w:pPr>
            <w:r>
              <w:rPr>
                <w:rFonts w:ascii="Cambria" w:hAnsi="Cambria"/>
                <w:i w:val="false"/>
                <w:iCs w:val="false"/>
                <w:sz w:val="20"/>
                <w:szCs w:val="20"/>
                <w:lang w:val="en-US"/>
              </w:rPr>
              <w:t>Studentul/absolventul coreleaz</w:t>
            </w:r>
            <w:r>
              <w:rPr>
                <w:rFonts w:ascii="Cambria" w:hAnsi="Cambria"/>
                <w:i w:val="false"/>
                <w:iCs w:val="false"/>
                <w:sz w:val="20"/>
                <w:szCs w:val="20"/>
                <w:lang w:val="ro-RO"/>
              </w:rPr>
              <w:t>ă</w:t>
            </w:r>
            <w:r>
              <w:rPr>
                <w:rFonts w:ascii="Cambria" w:hAnsi="Cambria"/>
                <w:i w:val="false"/>
                <w:iCs w:val="false"/>
                <w:sz w:val="20"/>
                <w:szCs w:val="20"/>
                <w:lang w:val="en-US"/>
              </w:rPr>
              <w:t xml:space="preserve"> principiile matematice si fizice pentru operarea </w:t>
            </w:r>
            <w:r>
              <w:rPr>
                <w:rFonts w:ascii="Cambria" w:hAnsi="Cambria"/>
                <w:i w:val="false"/>
                <w:iCs w:val="false"/>
                <w:sz w:val="20"/>
                <w:szCs w:val="20"/>
                <w:lang w:val="ro-RO"/>
              </w:rPr>
              <w:t>cunoștintelor</w:t>
            </w:r>
            <w:r>
              <w:rPr>
                <w:rFonts w:ascii="Cambria" w:hAnsi="Cambria"/>
                <w:i w:val="false"/>
                <w:iCs w:val="false"/>
                <w:sz w:val="20"/>
                <w:szCs w:val="20"/>
                <w:lang w:val="en-US"/>
              </w:rPr>
              <w:t xml:space="preserve"> de specialitate </w:t>
            </w:r>
            <w:r>
              <w:rPr>
                <w:rFonts w:ascii="Cambria" w:hAnsi="Cambria"/>
                <w:i w:val="false"/>
                <w:iCs w:val="false"/>
                <w:sz w:val="20"/>
                <w:szCs w:val="20"/>
                <w:lang w:val="ro-RO"/>
              </w:rPr>
              <w:t>î</w:t>
            </w:r>
            <w:r>
              <w:rPr>
                <w:rFonts w:ascii="Cambria" w:hAnsi="Cambria"/>
                <w:i w:val="false"/>
                <w:iCs w:val="false"/>
                <w:sz w:val="20"/>
                <w:szCs w:val="20"/>
                <w:lang w:val="en-US"/>
              </w:rPr>
              <w:t>n chimie.</w:t>
            </w:r>
          </w:p>
          <w:p>
            <w:pPr>
              <w:pStyle w:val="Normal"/>
              <w:spacing w:lineRule="auto" w:line="240" w:before="0" w:after="0"/>
              <w:rPr>
                <w:rFonts w:ascii="Cambria" w:hAnsi="Cambria"/>
                <w:i/>
                <w:i/>
                <w:iCs/>
                <w:sz w:val="20"/>
                <w:szCs w:val="20"/>
                <w:lang w:val="en-US"/>
              </w:rPr>
            </w:pPr>
            <w:r>
              <w:rPr>
                <w:rFonts w:ascii="Cambria" w:hAnsi="Cambria"/>
                <w:i/>
                <w:iCs/>
                <w:sz w:val="20"/>
                <w:szCs w:val="20"/>
                <w:lang w:val="en-US"/>
              </w:rPr>
              <w:t>The student/graduate correlates mathematical and physical principles to apply specialized knowledge in the field of chemistry.</w:t>
            </w:r>
          </w:p>
        </w:tc>
        <w:tc>
          <w:tcPr>
            <w:tcW w:w="426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Cambria" w:hAnsi="Cambria"/>
                <w:i/>
                <w:i/>
                <w:iCs/>
                <w:sz w:val="20"/>
                <w:szCs w:val="20"/>
                <w:lang w:val="ro-RO"/>
              </w:rPr>
            </w:pPr>
            <w:r>
              <w:rPr>
                <w:rFonts w:ascii="Cambria" w:hAnsi="Cambria"/>
                <w:i w:val="false"/>
                <w:iCs w:val="false"/>
                <w:sz w:val="20"/>
                <w:szCs w:val="20"/>
                <w:lang w:val="ro-RO"/>
              </w:rPr>
              <w:t xml:space="preserve">Studentul/absolventul implementează noțiunile de matematică și fizică pentru validarea datelor experimentale, calibrarea echipamentelor și modelarea predictivă a transformărilor chimice. </w:t>
            </w:r>
            <w:r>
              <w:rPr>
                <w:rFonts w:ascii="Cambria" w:hAnsi="Cambria"/>
                <w:i/>
                <w:iCs/>
                <w:sz w:val="20"/>
                <w:szCs w:val="20"/>
                <w:lang w:val="ro-RO"/>
              </w:rPr>
              <w:t xml:space="preserve">                                                                                                      The student/graduate applieds mathematical and physical concepts to validate experimental data, calibrate instruments, and perform predictive modeling of chemical transformations</w:t>
            </w:r>
          </w:p>
        </w:tc>
      </w:tr>
    </w:tbl>
    <w:p>
      <w:pPr>
        <w:pStyle w:val="Normal"/>
        <w:spacing w:before="0" w:after="0"/>
        <w:rPr>
          <w:rFonts w:ascii="Cambria" w:hAnsi="Cambria"/>
          <w:b/>
          <w:sz w:val="20"/>
          <w:szCs w:val="20"/>
        </w:rPr>
      </w:pPr>
      <w:r>
        <w:rPr>
          <w:rFonts w:ascii="Cambria" w:hAnsi="Cambria"/>
          <w:b/>
          <w:sz w:val="20"/>
          <w:szCs w:val="20"/>
        </w:rPr>
      </w:r>
    </w:p>
    <w:p>
      <w:pPr>
        <w:pStyle w:val="Normal"/>
        <w:spacing w:lineRule="auto" w:line="240" w:before="0" w:after="0"/>
        <w:ind w:left="-426"/>
        <w:jc w:val="both"/>
        <w:rPr>
          <w:rFonts w:ascii="Cambria" w:hAnsi="Cambria"/>
          <w:bCs/>
          <w:color w:val="FF0000"/>
          <w:sz w:val="20"/>
          <w:szCs w:val="20"/>
        </w:rPr>
      </w:pPr>
      <w:r>
        <w:rPr>
          <w:rFonts w:ascii="Cambria" w:hAnsi="Cambria"/>
          <w:b/>
          <w:sz w:val="20"/>
          <w:szCs w:val="20"/>
        </w:rPr>
        <w:t>7. Rezultatele învățării specifice disciplinei</w:t>
      </w:r>
    </w:p>
    <w:tbl>
      <w:tblPr>
        <w:tblW w:w="10536" w:type="dxa"/>
        <w:jc w:val="left"/>
        <w:tblInd w:w="-431" w:type="dxa"/>
        <w:tblLayout w:type="fixed"/>
        <w:tblCellMar>
          <w:top w:w="0" w:type="dxa"/>
          <w:left w:w="108" w:type="dxa"/>
          <w:bottom w:w="0" w:type="dxa"/>
          <w:right w:w="108" w:type="dxa"/>
        </w:tblCellMar>
        <w:tblLook w:firstRow="1" w:noVBand="0" w:lastRow="1" w:firstColumn="1" w:lastColumn="1" w:noHBand="0" w:val="01e0"/>
      </w:tblPr>
      <w:tblGrid>
        <w:gridCol w:w="10536"/>
      </w:tblGrid>
      <w:tr>
        <w:trPr>
          <w:trHeight w:val="402" w:hRule="atLeast"/>
          <w:cantSplit w:val="true"/>
        </w:trPr>
        <w:tc>
          <w:tcPr>
            <w:tcW w:w="10536"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contextualSpacing/>
              <w:rPr>
                <w:rFonts w:ascii="Cambria" w:hAnsi="Cambria"/>
                <w:b/>
                <w:sz w:val="20"/>
                <w:szCs w:val="20"/>
              </w:rPr>
            </w:pPr>
            <w:r>
              <w:rPr>
                <w:rFonts w:ascii="Cambria" w:hAnsi="Cambria"/>
                <w:b/>
                <w:sz w:val="20"/>
                <w:szCs w:val="20"/>
              </w:rPr>
              <w:t>Cunoștințe și înțelegere (Knowledge and understanding)</w:t>
            </w:r>
          </w:p>
        </w:tc>
      </w:tr>
      <w:tr>
        <w:trPr>
          <w:trHeight w:val="402" w:hRule="atLeast"/>
          <w:cantSplit w:val="true"/>
        </w:trPr>
        <w:tc>
          <w:tcPr>
            <w:tcW w:w="1053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Cambria" w:hAnsi="Cambria"/>
                <w:i/>
                <w:i/>
                <w:iCs/>
                <w:sz w:val="20"/>
                <w:szCs w:val="20"/>
                <w:lang w:val="en-US"/>
              </w:rPr>
            </w:pPr>
            <w:r>
              <w:rPr>
                <w:rFonts w:ascii="Cambria" w:hAnsi="Cambria"/>
                <w:i w:val="false"/>
                <w:iCs w:val="false"/>
                <w:sz w:val="20"/>
                <w:szCs w:val="20"/>
                <w:lang w:val="en-US"/>
              </w:rPr>
              <w:t>Studentul coreleaz</w:t>
            </w:r>
            <w:r>
              <w:rPr>
                <w:rFonts w:ascii="Cambria" w:hAnsi="Cambria"/>
                <w:i w:val="false"/>
                <w:iCs w:val="false"/>
                <w:sz w:val="20"/>
                <w:szCs w:val="20"/>
                <w:lang w:val="ro-RO"/>
              </w:rPr>
              <w:t>ă</w:t>
            </w:r>
            <w:r>
              <w:rPr>
                <w:rFonts w:ascii="Cambria" w:hAnsi="Cambria"/>
                <w:i w:val="false"/>
                <w:iCs w:val="false"/>
                <w:sz w:val="20"/>
                <w:szCs w:val="20"/>
                <w:lang w:val="en-US"/>
              </w:rPr>
              <w:t xml:space="preserve"> principiile matematice si fizice pentru operarea </w:t>
            </w:r>
            <w:r>
              <w:rPr>
                <w:rFonts w:ascii="Cambria" w:hAnsi="Cambria"/>
                <w:i w:val="false"/>
                <w:iCs w:val="false"/>
                <w:sz w:val="20"/>
                <w:szCs w:val="20"/>
                <w:lang w:val="ro-RO"/>
              </w:rPr>
              <w:t>cunoștintelor</w:t>
            </w:r>
            <w:r>
              <w:rPr>
                <w:rFonts w:ascii="Cambria" w:hAnsi="Cambria"/>
                <w:i w:val="false"/>
                <w:iCs w:val="false"/>
                <w:sz w:val="20"/>
                <w:szCs w:val="20"/>
                <w:lang w:val="en-US"/>
              </w:rPr>
              <w:t xml:space="preserve"> de specialitate </w:t>
            </w:r>
            <w:r>
              <w:rPr>
                <w:rFonts w:ascii="Cambria" w:hAnsi="Cambria"/>
                <w:i w:val="false"/>
                <w:iCs w:val="false"/>
                <w:sz w:val="20"/>
                <w:szCs w:val="20"/>
                <w:lang w:val="ro-RO"/>
              </w:rPr>
              <w:t>î</w:t>
            </w:r>
            <w:r>
              <w:rPr>
                <w:rFonts w:ascii="Cambria" w:hAnsi="Cambria"/>
                <w:i w:val="false"/>
                <w:iCs w:val="false"/>
                <w:sz w:val="20"/>
                <w:szCs w:val="20"/>
                <w:lang w:val="en-US"/>
              </w:rPr>
              <w:t>n chimie.</w:t>
            </w:r>
          </w:p>
          <w:p>
            <w:pPr>
              <w:pStyle w:val="Normal"/>
              <w:spacing w:lineRule="auto" w:line="240" w:before="0" w:after="0"/>
              <w:rPr>
                <w:rFonts w:ascii="Cambria" w:hAnsi="Cambria"/>
                <w:i/>
                <w:i/>
                <w:iCs/>
                <w:sz w:val="20"/>
                <w:szCs w:val="20"/>
                <w:lang w:val="en-US"/>
              </w:rPr>
            </w:pPr>
            <w:r>
              <w:rPr>
                <w:rFonts w:ascii="Cambria" w:hAnsi="Cambria"/>
                <w:bCs/>
                <w:i/>
                <w:iCs/>
                <w:sz w:val="20"/>
                <w:szCs w:val="20"/>
                <w:lang w:val="en-US"/>
              </w:rPr>
              <w:t>The student correlates mathematical and physical principles to apply specialized knowledge in the field of chemistry.</w:t>
            </w:r>
          </w:p>
        </w:tc>
      </w:tr>
      <w:tr>
        <w:trPr>
          <w:trHeight w:val="402" w:hRule="atLeast"/>
          <w:cantSplit w:val="true"/>
        </w:trPr>
        <w:tc>
          <w:tcPr>
            <w:tcW w:w="10536"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contextualSpacing/>
              <w:rPr>
                <w:rFonts w:ascii="Cambria" w:hAnsi="Cambria"/>
                <w:b/>
                <w:sz w:val="20"/>
                <w:szCs w:val="20"/>
              </w:rPr>
            </w:pPr>
            <w:r>
              <w:rPr>
                <w:rFonts w:ascii="Cambria" w:hAnsi="Cambria"/>
                <w:b/>
                <w:sz w:val="20"/>
                <w:szCs w:val="20"/>
              </w:rPr>
              <w:t>Abilități academice specifice (Specific academic skills)</w:t>
            </w:r>
          </w:p>
        </w:tc>
      </w:tr>
      <w:tr>
        <w:trPr>
          <w:trHeight w:val="402" w:hRule="atLeast"/>
          <w:cantSplit w:val="true"/>
        </w:trPr>
        <w:tc>
          <w:tcPr>
            <w:tcW w:w="1053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Cambria" w:hAnsi="Cambria"/>
                <w:i/>
                <w:i/>
                <w:iCs/>
                <w:sz w:val="20"/>
                <w:szCs w:val="20"/>
                <w:lang w:val="ro-RO"/>
              </w:rPr>
            </w:pPr>
            <w:r>
              <w:rPr>
                <w:rFonts w:ascii="Cambria" w:hAnsi="Cambria"/>
                <w:b w:val="false"/>
                <w:bCs w:val="false"/>
                <w:i w:val="false"/>
                <w:iCs w:val="false"/>
                <w:sz w:val="20"/>
                <w:szCs w:val="20"/>
                <w:lang w:val="ro-RO"/>
              </w:rPr>
              <w:t xml:space="preserve">Studentul implementează noțiunile de matematică și fizică pentru validarea datelor experimentale, calibrarea echipamentelor și modelarea predictivă a transformărilor chimice. </w:t>
            </w:r>
            <w:r>
              <w:rPr>
                <w:rFonts w:ascii="Cambria" w:hAnsi="Cambria"/>
                <w:b w:val="false"/>
                <w:bCs w:val="false"/>
                <w:i/>
                <w:iCs/>
                <w:sz w:val="20"/>
                <w:szCs w:val="20"/>
                <w:lang w:val="ro-RO"/>
              </w:rPr>
              <w:t xml:space="preserve">                                                                                                      The student applieds mathematical and physical concepts to validate experimental data, calibrate instruments, and perform predictive modeling of chemical transformations.</w:t>
            </w:r>
          </w:p>
        </w:tc>
      </w:tr>
    </w:tbl>
    <w:p>
      <w:pPr>
        <w:pStyle w:val="Normal"/>
        <w:spacing w:before="0" w:after="0"/>
        <w:ind w:hanging="426"/>
        <w:rPr>
          <w:rFonts w:ascii="Cambria" w:hAnsi="Cambria"/>
          <w:b/>
          <w:sz w:val="20"/>
          <w:szCs w:val="20"/>
        </w:rPr>
      </w:pPr>
      <w:r>
        <w:rPr>
          <w:rFonts w:ascii="Cambria" w:hAnsi="Cambria"/>
          <w:b/>
          <w:sz w:val="20"/>
          <w:szCs w:val="20"/>
        </w:rPr>
      </w:r>
    </w:p>
    <w:p>
      <w:pPr>
        <w:pStyle w:val="Normal"/>
        <w:spacing w:before="0" w:after="0"/>
        <w:ind w:hanging="426"/>
        <w:rPr>
          <w:rFonts w:ascii="Cambria" w:hAnsi="Cambria"/>
          <w:b/>
          <w:sz w:val="20"/>
          <w:szCs w:val="20"/>
        </w:rPr>
      </w:pPr>
      <w:r>
        <w:rPr>
          <w:rFonts w:ascii="Cambria" w:hAnsi="Cambria"/>
          <w:b/>
          <w:sz w:val="20"/>
          <w:szCs w:val="20"/>
        </w:rPr>
        <w:t>8. Conținuturi</w:t>
      </w:r>
    </w:p>
    <w:tbl>
      <w:tblPr>
        <w:tblW w:w="10491" w:type="dxa"/>
        <w:jc w:val="left"/>
        <w:tblInd w:w="-431" w:type="dxa"/>
        <w:tblLayout w:type="fixed"/>
        <w:tblCellMar>
          <w:top w:w="0" w:type="dxa"/>
          <w:left w:w="108" w:type="dxa"/>
          <w:bottom w:w="0" w:type="dxa"/>
          <w:right w:w="108" w:type="dxa"/>
        </w:tblCellMar>
        <w:tblLook w:firstRow="1" w:noVBand="0" w:lastRow="1" w:firstColumn="1" w:lastColumn="1" w:noHBand="0" w:val="01e0"/>
      </w:tblPr>
      <w:tblGrid>
        <w:gridCol w:w="3771"/>
        <w:gridCol w:w="3418"/>
        <w:gridCol w:w="3302"/>
      </w:tblGrid>
      <w:tr>
        <w:trPr>
          <w:trHeight w:val="397" w:hRule="atLeast"/>
        </w:trPr>
        <w:tc>
          <w:tcPr>
            <w:tcW w:w="377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Cambria" w:hAnsi="Cambria" w:eastAsia="Calibri" w:cs="Times New Roman"/>
                <w:b/>
                <w:kern w:val="0"/>
                <w:sz w:val="20"/>
                <w:szCs w:val="20"/>
              </w:rPr>
            </w:pPr>
            <w:r>
              <w:rPr>
                <w:rFonts w:eastAsia="Calibri" w:cs="Times New Roman" w:ascii="Cambria" w:hAnsi="Cambria"/>
                <w:b/>
                <w:kern w:val="0"/>
                <w:sz w:val="20"/>
                <w:szCs w:val="20"/>
              </w:rPr>
              <w:t>8.1 Curs</w:t>
            </w:r>
          </w:p>
        </w:tc>
        <w:tc>
          <w:tcPr>
            <w:tcW w:w="341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Cambria" w:hAnsi="Cambria" w:eastAsia="Calibri" w:cs="Times New Roman"/>
                <w:b/>
                <w:kern w:val="0"/>
                <w:sz w:val="20"/>
                <w:szCs w:val="20"/>
              </w:rPr>
            </w:pPr>
            <w:r>
              <w:rPr>
                <w:rFonts w:eastAsia="Calibri" w:cs="Times New Roman" w:ascii="Cambria" w:hAnsi="Cambria"/>
                <w:b/>
                <w:kern w:val="0"/>
                <w:sz w:val="20"/>
                <w:szCs w:val="20"/>
              </w:rPr>
              <w:t>Metode de predare - învățare</w:t>
            </w:r>
          </w:p>
        </w:tc>
        <w:tc>
          <w:tcPr>
            <w:tcW w:w="330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Cambria" w:hAnsi="Cambria" w:eastAsia="Calibri" w:cs="Times New Roman"/>
                <w:b/>
                <w:kern w:val="0"/>
                <w:sz w:val="20"/>
                <w:szCs w:val="20"/>
              </w:rPr>
            </w:pPr>
            <w:r>
              <w:rPr>
                <w:rFonts w:eastAsia="Calibri" w:cs="Times New Roman" w:ascii="Cambria" w:hAnsi="Cambria"/>
                <w:b/>
                <w:kern w:val="0"/>
                <w:sz w:val="20"/>
                <w:szCs w:val="20"/>
              </w:rPr>
              <w:t>Observații</w:t>
            </w:r>
            <w:r>
              <w:rPr>
                <w:rStyle w:val="FootnoteReference"/>
                <w:rFonts w:eastAsia="Calibri" w:cs="Times New Roman" w:ascii="Cambria" w:hAnsi="Cambria"/>
                <w:b/>
                <w:kern w:val="0"/>
                <w:sz w:val="20"/>
                <w:szCs w:val="20"/>
              </w:rPr>
              <w:footnoteReference w:id="4"/>
            </w:r>
          </w:p>
        </w:tc>
      </w:tr>
      <w:tr>
        <w:trPr>
          <w:trHeight w:val="397" w:hRule="atLeast"/>
        </w:trPr>
        <w:tc>
          <w:tcPr>
            <w:tcW w:w="377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left"/>
              <w:rPr>
                <w:rFonts w:ascii="Cambria" w:hAnsi="Cambria"/>
                <w:sz w:val="20"/>
                <w:szCs w:val="20"/>
              </w:rPr>
            </w:pPr>
            <w:r>
              <w:rPr>
                <w:rFonts w:ascii="Cambria" w:hAnsi="Cambria"/>
                <w:b w:val="false"/>
                <w:bCs w:val="false"/>
                <w:sz w:val="20"/>
                <w:szCs w:val="20"/>
                <w:lang w:val="es-ES"/>
              </w:rPr>
              <w:t>8.1.1.</w:t>
            </w:r>
            <w:r>
              <w:rPr>
                <w:rFonts w:ascii="Cambria" w:hAnsi="Cambria"/>
                <w:b/>
                <w:bCs w:val="false"/>
                <w:sz w:val="20"/>
                <w:szCs w:val="20"/>
                <w:lang w:val="es-ES"/>
              </w:rPr>
              <w:t xml:space="preserve"> </w:t>
            </w:r>
            <w:r>
              <w:rPr>
                <w:rFonts w:ascii="Cambria" w:hAnsi="Cambria"/>
                <w:b/>
                <w:bCs w:val="false"/>
                <w:sz w:val="20"/>
                <w:szCs w:val="20"/>
                <w:lang w:val="ro-RO"/>
              </w:rPr>
              <w:t xml:space="preserve">Spații liniare. </w:t>
            </w:r>
            <w:r>
              <w:rPr>
                <w:rFonts w:ascii="Cambria" w:hAnsi="Cambria"/>
                <w:sz w:val="20"/>
                <w:szCs w:val="20"/>
                <w:lang w:val="es-ES"/>
              </w:rPr>
              <w:t>Spaţii şi subspaţii liniare, sisteme de vectori liniar independente,  sisteme de vectori liniar dependente,  bază, dimensiune</w:t>
            </w:r>
          </w:p>
        </w:tc>
        <w:tc>
          <w:tcPr>
            <w:tcW w:w="3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left"/>
              <w:rPr>
                <w:rFonts w:ascii="Cambria" w:hAnsi="Cambria"/>
                <w:sz w:val="20"/>
                <w:szCs w:val="20"/>
              </w:rPr>
            </w:pPr>
            <w:r>
              <w:rPr>
                <w:rFonts w:ascii="Cambria" w:hAnsi="Cambria"/>
                <w:sz w:val="20"/>
                <w:szCs w:val="20"/>
              </w:rPr>
              <w:t>Expunere, conversaţie, demonstraţie didactică, problematizare</w:t>
            </w:r>
          </w:p>
        </w:tc>
        <w:tc>
          <w:tcPr>
            <w:tcW w:w="330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left"/>
              <w:rPr>
                <w:rFonts w:ascii="Cambria" w:hAnsi="Cambria"/>
                <w:sz w:val="20"/>
                <w:szCs w:val="20"/>
              </w:rPr>
            </w:pPr>
            <w:r>
              <w:rPr>
                <w:rFonts w:ascii="Cambria" w:hAnsi="Cambria"/>
                <w:sz w:val="20"/>
                <w:szCs w:val="20"/>
              </w:rPr>
              <w:t>[4]  (din bibliografie)</w:t>
            </w:r>
          </w:p>
        </w:tc>
      </w:tr>
      <w:tr>
        <w:trPr>
          <w:trHeight w:val="397" w:hRule="atLeast"/>
        </w:trPr>
        <w:tc>
          <w:tcPr>
            <w:tcW w:w="377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left"/>
              <w:rPr/>
            </w:pPr>
            <w:r>
              <w:rPr>
                <w:rFonts w:cs="Times New Roman" w:ascii="Cambria" w:hAnsi="Cambria"/>
                <w:sz w:val="20"/>
                <w:szCs w:val="20"/>
              </w:rPr>
              <w:t>8.1.2.</w:t>
            </w:r>
            <w:r>
              <w:rPr>
                <w:rFonts w:cs="Times New Roman" w:ascii="Cambria" w:hAnsi="Cambria"/>
                <w:sz w:val="20"/>
                <w:szCs w:val="20"/>
                <w:lang w:val="ro-RO"/>
              </w:rPr>
              <w:t xml:space="preserve"> </w:t>
            </w:r>
            <w:r>
              <w:rPr>
                <w:rFonts w:cs="Times New Roman" w:ascii="Cambria" w:hAnsi="Cambria"/>
                <w:b/>
                <w:bCs/>
                <w:sz w:val="20"/>
                <w:szCs w:val="20"/>
                <w:lang w:val="ro-RO"/>
              </w:rPr>
              <w:t xml:space="preserve">Transformări liniare. </w:t>
            </w:r>
            <w:r>
              <w:rPr>
                <w:rFonts w:cs="Times New Roman" w:ascii="Cambria" w:hAnsi="Cambria"/>
                <w:sz w:val="20"/>
                <w:szCs w:val="20"/>
              </w:rPr>
              <w:t>Transformări liniare, nucleul şi imaginea unei transformări liniare, vectori proprii și valori proprii a</w:t>
            </w:r>
            <w:r>
              <w:rPr>
                <w:rFonts w:cs="Times New Roman" w:ascii="Cambria" w:hAnsi="Cambria"/>
                <w:sz w:val="20"/>
                <w:szCs w:val="20"/>
                <w:lang w:val="ro-RO"/>
              </w:rPr>
              <w:t>i</w:t>
            </w:r>
            <w:r>
              <w:rPr>
                <w:rFonts w:cs="Times New Roman" w:ascii="Cambria" w:hAnsi="Cambria"/>
                <w:sz w:val="20"/>
                <w:szCs w:val="20"/>
              </w:rPr>
              <w:t xml:space="preserve"> unei transformări liniare</w:t>
            </w:r>
          </w:p>
        </w:tc>
        <w:tc>
          <w:tcPr>
            <w:tcW w:w="3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Expunere, conversaţie, demonstraţie didactică, problematizare</w:t>
            </w:r>
          </w:p>
        </w:tc>
        <w:tc>
          <w:tcPr>
            <w:tcW w:w="330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[4]</w:t>
            </w:r>
          </w:p>
        </w:tc>
      </w:tr>
      <w:tr>
        <w:trPr>
          <w:trHeight w:val="397" w:hRule="atLeast"/>
        </w:trPr>
        <w:tc>
          <w:tcPr>
            <w:tcW w:w="377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left"/>
              <w:rPr/>
            </w:pPr>
            <w:r>
              <w:rPr>
                <w:rFonts w:cs="Times New Roman" w:ascii="Cambria" w:hAnsi="Cambria"/>
                <w:sz w:val="20"/>
                <w:szCs w:val="20"/>
              </w:rPr>
              <w:t xml:space="preserve">8.1.3. </w:t>
            </w:r>
            <w:r>
              <w:rPr>
                <w:rFonts w:cs="Times New Roman" w:ascii="Cambria" w:hAnsi="Cambria"/>
                <w:b/>
                <w:bCs/>
                <w:sz w:val="20"/>
                <w:szCs w:val="20"/>
                <w:lang w:val="ro-RO"/>
              </w:rPr>
              <w:t xml:space="preserve">Geometria analitică a spațiului. </w:t>
            </w:r>
            <w:r>
              <w:rPr>
                <w:rFonts w:cs="Times New Roman" w:ascii="Cambria" w:hAnsi="Cambria"/>
                <w:sz w:val="20"/>
                <w:szCs w:val="20"/>
                <w:lang w:val="es-ES"/>
              </w:rPr>
              <w:t xml:space="preserve"> Caracterizarea algebrică a punctului, dreptei şi  planului</w:t>
            </w:r>
          </w:p>
        </w:tc>
        <w:tc>
          <w:tcPr>
            <w:tcW w:w="3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Expunere, conversaţie, demonstraţie didactică, problematizare</w:t>
            </w:r>
          </w:p>
        </w:tc>
        <w:tc>
          <w:tcPr>
            <w:tcW w:w="330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Times New Roman" w:hAnsi="Times New Roman"/>
              </w:rPr>
              <w:t>[5]</w:t>
            </w:r>
          </w:p>
        </w:tc>
      </w:tr>
      <w:tr>
        <w:trPr>
          <w:trHeight w:val="397" w:hRule="atLeast"/>
        </w:trPr>
        <w:tc>
          <w:tcPr>
            <w:tcW w:w="377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Cambria" w:hAnsi="Cambria"/>
                <w:sz w:val="20"/>
                <w:szCs w:val="20"/>
              </w:rPr>
            </w:pPr>
            <w:r>
              <w:rPr>
                <w:rFonts w:cs="Times New Roman" w:ascii="Cambria" w:hAnsi="Cambria"/>
                <w:sz w:val="20"/>
                <w:szCs w:val="20"/>
                <w:lang w:val="es-ES"/>
              </w:rPr>
              <w:t>8.1.</w:t>
            </w:r>
            <w:r>
              <w:rPr>
                <w:rFonts w:cs="Times New Roman" w:ascii="Cambria" w:hAnsi="Cambria"/>
                <w:sz w:val="20"/>
                <w:szCs w:val="20"/>
                <w:lang w:val="ro-RO"/>
              </w:rPr>
              <w:t>4</w:t>
            </w:r>
            <w:r>
              <w:rPr>
                <w:rFonts w:cs="Times New Roman" w:ascii="Cambria" w:hAnsi="Cambria"/>
                <w:sz w:val="20"/>
                <w:szCs w:val="20"/>
                <w:lang w:val="es-ES"/>
              </w:rPr>
              <w:t xml:space="preserve">. </w:t>
            </w:r>
            <w:r>
              <w:rPr>
                <w:rFonts w:cs="Times New Roman" w:ascii="Cambria" w:hAnsi="Cambria"/>
                <w:b/>
                <w:bCs/>
                <w:sz w:val="20"/>
                <w:szCs w:val="20"/>
                <w:lang w:val="ro-RO"/>
              </w:rPr>
              <w:t xml:space="preserve">Geometria analitică a spațiului. </w:t>
            </w:r>
            <w:r>
              <w:rPr>
                <w:rFonts w:cs="Times New Roman" w:ascii="Cambria" w:hAnsi="Cambria"/>
                <w:sz w:val="20"/>
                <w:szCs w:val="20"/>
                <w:lang w:val="es-ES"/>
              </w:rPr>
              <w:t xml:space="preserve"> </w:t>
            </w:r>
            <w:r>
              <w:rPr>
                <w:rFonts w:cs="Times New Roman" w:ascii="Cambria" w:hAnsi="Cambria"/>
                <w:sz w:val="20"/>
                <w:szCs w:val="20"/>
                <w:lang w:val="ro-RO"/>
              </w:rPr>
              <w:t>P</w:t>
            </w:r>
            <w:r>
              <w:rPr>
                <w:rFonts w:cs="Times New Roman" w:ascii="Cambria" w:hAnsi="Cambria"/>
                <w:sz w:val="20"/>
                <w:szCs w:val="20"/>
                <w:lang w:val="es-ES"/>
              </w:rPr>
              <w:t>robleme afine relative la drepte și plane</w:t>
            </w:r>
          </w:p>
        </w:tc>
        <w:tc>
          <w:tcPr>
            <w:tcW w:w="3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Cambria" w:hAnsi="Cambria" w:cs="Times New Roman"/>
                <w:sz w:val="20"/>
                <w:szCs w:val="20"/>
              </w:rPr>
            </w:pPr>
            <w:r>
              <w:rPr>
                <w:rFonts w:cs="Times New Roman" w:ascii="Cambria" w:hAnsi="Cambria"/>
                <w:sz w:val="20"/>
                <w:szCs w:val="20"/>
              </w:rPr>
              <w:t>Expunere, conversaţie, demonstraţie didactică, problematizare</w:t>
            </w:r>
          </w:p>
        </w:tc>
        <w:tc>
          <w:tcPr>
            <w:tcW w:w="330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rPr>
            </w:pPr>
            <w:r>
              <w:rPr>
                <w:rFonts w:cs="Times New Roman" w:ascii="Times New Roman" w:hAnsi="Times New Roman"/>
              </w:rPr>
              <w:t>[5]</w:t>
            </w:r>
          </w:p>
        </w:tc>
      </w:tr>
      <w:tr>
        <w:trPr>
          <w:trHeight w:val="397" w:hRule="atLeast"/>
        </w:trPr>
        <w:tc>
          <w:tcPr>
            <w:tcW w:w="377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Cambria" w:hAnsi="Cambria"/>
                <w:sz w:val="20"/>
                <w:szCs w:val="20"/>
              </w:rPr>
            </w:pPr>
            <w:r>
              <w:rPr>
                <w:rFonts w:cs="Times New Roman" w:ascii="Cambria" w:hAnsi="Cambria"/>
                <w:b w:val="false"/>
                <w:bCs w:val="false"/>
                <w:sz w:val="20"/>
                <w:szCs w:val="20"/>
                <w:lang w:val="es-ES"/>
              </w:rPr>
              <w:t>8.1.</w:t>
            </w:r>
            <w:r>
              <w:rPr>
                <w:rFonts w:cs="Times New Roman" w:ascii="Cambria" w:hAnsi="Cambria"/>
                <w:b w:val="false"/>
                <w:bCs w:val="false"/>
                <w:sz w:val="20"/>
                <w:szCs w:val="20"/>
                <w:lang w:val="ro-RO"/>
              </w:rPr>
              <w:t>5</w:t>
            </w:r>
            <w:r>
              <w:rPr>
                <w:rFonts w:cs="Times New Roman" w:ascii="Cambria" w:hAnsi="Cambria"/>
                <w:b w:val="false"/>
                <w:bCs w:val="false"/>
                <w:sz w:val="20"/>
                <w:szCs w:val="20"/>
                <w:lang w:val="es-ES"/>
              </w:rPr>
              <w:t>.</w:t>
            </w:r>
            <w:r>
              <w:rPr>
                <w:rFonts w:cs="Times New Roman" w:ascii="Cambria" w:hAnsi="Cambria"/>
                <w:b/>
                <w:bCs/>
                <w:sz w:val="20"/>
                <w:szCs w:val="20"/>
                <w:lang w:val="es-ES"/>
              </w:rPr>
              <w:t xml:space="preserve"> </w:t>
            </w:r>
            <w:r>
              <w:rPr>
                <w:rFonts w:cs="Times New Roman" w:ascii="Cambria" w:hAnsi="Cambria"/>
                <w:b/>
                <w:bCs/>
                <w:sz w:val="20"/>
                <w:szCs w:val="20"/>
                <w:lang w:val="ro-RO"/>
              </w:rPr>
              <w:t xml:space="preserve">Algebră vectorială. </w:t>
            </w:r>
            <w:r>
              <w:rPr>
                <w:rFonts w:cs="Times New Roman" w:ascii="Cambria" w:hAnsi="Cambria"/>
                <w:b w:val="false"/>
                <w:bCs w:val="false"/>
                <w:sz w:val="20"/>
                <w:szCs w:val="20"/>
                <w:lang w:val="es-ES"/>
              </w:rPr>
              <w:t xml:space="preserve">Sistem ortonormal, produs scalar, produs vectorial, </w:t>
            </w:r>
            <w:r>
              <w:rPr>
                <w:rFonts w:cs="Times New Roman" w:ascii="Cambria" w:hAnsi="Cambria"/>
                <w:b w:val="false"/>
                <w:bCs w:val="false"/>
                <w:sz w:val="20"/>
                <w:szCs w:val="20"/>
                <w:lang w:val="ro-RO"/>
              </w:rPr>
              <w:t xml:space="preserve">produs mixt, </w:t>
            </w:r>
            <w:r>
              <w:rPr>
                <w:rFonts w:cs="Times New Roman" w:ascii="Cambria" w:hAnsi="Cambria"/>
                <w:b w:val="false"/>
                <w:bCs w:val="false"/>
                <w:sz w:val="20"/>
                <w:szCs w:val="20"/>
                <w:lang w:val="es-ES"/>
              </w:rPr>
              <w:t>plan determinat de un punct și vector normal, distanţa unui punct la plan</w:t>
            </w:r>
          </w:p>
        </w:tc>
        <w:tc>
          <w:tcPr>
            <w:tcW w:w="3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Cambria" w:hAnsi="Cambria" w:cs="Times New Roman"/>
                <w:sz w:val="20"/>
                <w:szCs w:val="20"/>
              </w:rPr>
            </w:pPr>
            <w:r>
              <w:rPr>
                <w:rFonts w:cs="Times New Roman" w:ascii="Cambria" w:hAnsi="Cambria"/>
                <w:sz w:val="20"/>
                <w:szCs w:val="20"/>
              </w:rPr>
              <w:t>Expunere, conversaţie, demonstraţie didactică, problematizare</w:t>
            </w:r>
          </w:p>
        </w:tc>
        <w:tc>
          <w:tcPr>
            <w:tcW w:w="330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rPr>
            </w:pPr>
            <w:r>
              <w:rPr>
                <w:rFonts w:cs="Times New Roman" w:ascii="Times New Roman" w:hAnsi="Times New Roman"/>
              </w:rPr>
              <w:t>[5]</w:t>
            </w:r>
          </w:p>
        </w:tc>
      </w:tr>
      <w:tr>
        <w:trPr>
          <w:trHeight w:val="397" w:hRule="atLeast"/>
        </w:trPr>
        <w:tc>
          <w:tcPr>
            <w:tcW w:w="377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 xml:space="preserve">8.1.6. </w:t>
            </w:r>
            <w:r>
              <w:rPr>
                <w:rFonts w:cs="Times New Roman" w:ascii="Cambria" w:hAnsi="Cambria"/>
                <w:b/>
                <w:bCs/>
                <w:sz w:val="20"/>
                <w:szCs w:val="20"/>
                <w:lang w:val="ro-RO"/>
              </w:rPr>
              <w:t xml:space="preserve">Șiruri de numere reale. </w:t>
            </w:r>
            <w:r>
              <w:rPr>
                <w:rFonts w:cs="Times New Roman" w:ascii="Cambria" w:hAnsi="Cambria"/>
                <w:sz w:val="20"/>
                <w:szCs w:val="20"/>
                <w:lang w:val="es-ES"/>
              </w:rPr>
              <w:t xml:space="preserve">Şiruri convergente, </w:t>
            </w:r>
            <w:r>
              <w:rPr>
                <w:rFonts w:cs="Times New Roman" w:ascii="Cambria" w:hAnsi="Cambria"/>
                <w:sz w:val="20"/>
                <w:szCs w:val="20"/>
                <w:lang w:val="ro-RO"/>
              </w:rPr>
              <w:t xml:space="preserve">proprietăți, exemple, </w:t>
            </w:r>
            <w:r>
              <w:rPr>
                <w:rFonts w:cs="Times New Roman" w:ascii="Cambria" w:hAnsi="Cambria"/>
                <w:sz w:val="20"/>
                <w:szCs w:val="20"/>
                <w:lang w:val="es-ES"/>
              </w:rPr>
              <w:t>lema lui Ces</w:t>
            </w:r>
            <w:r>
              <w:rPr>
                <w:rFonts w:eastAsia="Arial" w:cs="Times New Roman" w:ascii="Cambria" w:hAnsi="Cambria"/>
                <w:sz w:val="20"/>
                <w:szCs w:val="20"/>
                <w:lang w:val="es-ES"/>
              </w:rPr>
              <w:t>à</w:t>
            </w:r>
            <w:r>
              <w:rPr>
                <w:rFonts w:cs="Times New Roman" w:ascii="Cambria" w:hAnsi="Cambria"/>
                <w:sz w:val="20"/>
                <w:szCs w:val="20"/>
                <w:lang w:val="es-ES"/>
              </w:rPr>
              <w:t>ro-Stolz</w:t>
            </w:r>
          </w:p>
        </w:tc>
        <w:tc>
          <w:tcPr>
            <w:tcW w:w="3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Expunere, conversaţie, demonstraţie didactică, problematizare</w:t>
            </w:r>
          </w:p>
        </w:tc>
        <w:tc>
          <w:tcPr>
            <w:tcW w:w="330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Times New Roman" w:hAnsi="Times New Roman"/>
              </w:rPr>
              <w:t>[3]</w:t>
            </w:r>
          </w:p>
        </w:tc>
      </w:tr>
      <w:tr>
        <w:trPr>
          <w:trHeight w:val="397" w:hRule="atLeast"/>
        </w:trPr>
        <w:tc>
          <w:tcPr>
            <w:tcW w:w="3771" w:type="dxa"/>
            <w:tcBorders>
              <w:top w:val="single" w:sz="4" w:space="0" w:color="000000"/>
              <w:left w:val="single" w:sz="4" w:space="0" w:color="000000"/>
              <w:bottom w:val="single" w:sz="4" w:space="0" w:color="000000"/>
              <w:right w:val="single" w:sz="4" w:space="0" w:color="000000"/>
            </w:tcBorders>
          </w:tcPr>
          <w:p>
            <w:pPr>
              <w:pStyle w:val="Normal"/>
              <w:widowControl/>
              <w:spacing w:before="0" w:after="160"/>
              <w:jc w:val="left"/>
              <w:rPr/>
            </w:pPr>
            <w:r>
              <w:rPr>
                <w:rFonts w:eastAsia="Calibri" w:cs="Times New Roman" w:ascii="Cambria" w:hAnsi="Cambria"/>
                <w:kern w:val="0"/>
                <w:sz w:val="20"/>
                <w:szCs w:val="20"/>
                <w:lang w:val="ro-RO"/>
                <w14:ligatures w14:val="none"/>
              </w:rPr>
              <w:t xml:space="preserve">8.1.7. </w:t>
            </w:r>
            <w:r>
              <w:rPr>
                <w:rFonts w:eastAsia="Calibri" w:cs="Times New Roman" w:ascii="Cambria" w:hAnsi="Cambria"/>
                <w:b/>
                <w:bCs/>
                <w:kern w:val="0"/>
                <w:sz w:val="20"/>
                <w:szCs w:val="20"/>
                <w:lang w:val="ro-RO"/>
                <w14:ligatures w14:val="none"/>
              </w:rPr>
              <w:t xml:space="preserve">Serii numerice. </w:t>
            </w:r>
            <w:r>
              <w:rPr>
                <w:rFonts w:eastAsia="Calibri" w:cs="Times New Roman" w:ascii="Cambria" w:hAnsi="Cambria"/>
                <w:kern w:val="0"/>
                <w:sz w:val="20"/>
                <w:szCs w:val="20"/>
                <w:lang w:val="es-ES"/>
                <w14:ligatures w14:val="none"/>
              </w:rPr>
              <w:t xml:space="preserve">Serii cu termeni pozitivi, criterii de convergenţă </w:t>
            </w:r>
            <w:r>
              <w:rPr>
                <w:rFonts w:eastAsia="Calibri" w:cs="Times New Roman" w:ascii="Cambria" w:hAnsi="Cambria"/>
                <w:kern w:val="0"/>
                <w:sz w:val="20"/>
                <w:szCs w:val="20"/>
                <w:lang w:val="ro-RO"/>
                <w14:ligatures w14:val="none"/>
              </w:rPr>
              <w:t>(criteriul raportului, criteriul rădăcinii, criteriul lui Raabe-Duhamel)</w:t>
            </w:r>
          </w:p>
        </w:tc>
        <w:tc>
          <w:tcPr>
            <w:tcW w:w="3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Expunere, conversaţie, demonstraţie didactică, problematizare</w:t>
            </w:r>
          </w:p>
        </w:tc>
        <w:tc>
          <w:tcPr>
            <w:tcW w:w="330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Times New Roman" w:hAnsi="Times New Roman"/>
              </w:rPr>
              <w:t>[3]</w:t>
            </w:r>
          </w:p>
        </w:tc>
      </w:tr>
      <w:tr>
        <w:trPr>
          <w:trHeight w:val="397" w:hRule="atLeast"/>
        </w:trPr>
        <w:tc>
          <w:tcPr>
            <w:tcW w:w="377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left"/>
              <w:rPr/>
            </w:pPr>
            <w:r>
              <w:rPr>
                <w:rFonts w:cs="Times New Roman" w:ascii="Cambria" w:hAnsi="Cambria"/>
                <w:sz w:val="20"/>
                <w:szCs w:val="20"/>
              </w:rPr>
              <w:t xml:space="preserve">8.1.8. </w:t>
            </w:r>
            <w:r>
              <w:rPr>
                <w:rFonts w:cs="Times New Roman" w:ascii="Cambria" w:hAnsi="Cambria"/>
                <w:b/>
                <w:sz w:val="20"/>
                <w:szCs w:val="20"/>
                <w:lang w:val="fr-FR"/>
              </w:rPr>
              <w:t>Limite de funcţii.</w:t>
            </w:r>
            <w:r>
              <w:rPr>
                <w:rFonts w:cs="Times New Roman" w:ascii="Cambria" w:hAnsi="Cambria"/>
                <w:sz w:val="20"/>
                <w:szCs w:val="20"/>
                <w:lang w:val="fr-FR"/>
              </w:rPr>
              <w:t xml:space="preserve"> Limita unei funcţii de o variabilă reală, caracterizarea limitei, continuitate.  </w:t>
            </w:r>
            <w:r>
              <w:rPr>
                <w:rFonts w:cs="Times New Roman" w:ascii="Cambria" w:hAnsi="Cambria"/>
                <w:b/>
                <w:bCs/>
                <w:sz w:val="20"/>
                <w:szCs w:val="20"/>
                <w:lang w:val="ro-RO"/>
              </w:rPr>
              <w:t xml:space="preserve">Spațiul euclidian. </w:t>
            </w:r>
            <w:r>
              <w:rPr>
                <w:rFonts w:cs="Times New Roman" w:ascii="Cambria" w:hAnsi="Cambria"/>
                <w:b w:val="false"/>
                <w:bCs w:val="false"/>
                <w:sz w:val="20"/>
                <w:szCs w:val="20"/>
                <w:lang w:val="ro-RO"/>
              </w:rPr>
              <w:t>Noțiuni de topologie în spațiul euclidian</w:t>
            </w:r>
          </w:p>
        </w:tc>
        <w:tc>
          <w:tcPr>
            <w:tcW w:w="3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Expunere, conversaţie, demonstraţie didactică, problematizare</w:t>
            </w:r>
          </w:p>
        </w:tc>
        <w:tc>
          <w:tcPr>
            <w:tcW w:w="330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Times New Roman" w:hAnsi="Times New Roman"/>
              </w:rPr>
              <w:t>[3]</w:t>
            </w:r>
          </w:p>
        </w:tc>
      </w:tr>
      <w:tr>
        <w:trPr>
          <w:trHeight w:val="397" w:hRule="atLeast"/>
        </w:trPr>
        <w:tc>
          <w:tcPr>
            <w:tcW w:w="3771"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 xml:space="preserve">8.1.9. </w:t>
            </w:r>
            <w:r>
              <w:rPr>
                <w:rFonts w:cs="Times New Roman" w:ascii="Cambria" w:hAnsi="Cambria"/>
                <w:b/>
                <w:bCs/>
                <w:sz w:val="20"/>
                <w:szCs w:val="20"/>
                <w:lang w:val="ro-RO"/>
              </w:rPr>
              <w:t xml:space="preserve">Funcții de mai multe variabile. </w:t>
            </w:r>
            <w:r>
              <w:rPr>
                <w:rFonts w:cs="Times New Roman" w:ascii="Cambria" w:hAnsi="Cambria"/>
                <w:sz w:val="20"/>
                <w:szCs w:val="20"/>
                <w:lang w:val="es-ES"/>
              </w:rPr>
              <w:t xml:space="preserve">Limita unei funcţii de mai multe variabile, limite iterate, </w:t>
            </w:r>
            <w:r>
              <w:rPr>
                <w:rFonts w:cs="Times New Roman" w:ascii="Cambria" w:hAnsi="Cambria"/>
                <w:sz w:val="20"/>
                <w:szCs w:val="20"/>
                <w:lang w:val="fr-FR"/>
              </w:rPr>
              <w:t xml:space="preserve">caracterizarea limitei, </w:t>
            </w:r>
            <w:r>
              <w:rPr>
                <w:rFonts w:cs="Times New Roman" w:ascii="Cambria" w:hAnsi="Cambria"/>
                <w:sz w:val="20"/>
                <w:szCs w:val="20"/>
                <w:lang w:val="es-ES"/>
              </w:rPr>
              <w:t>continuitate</w:t>
            </w:r>
          </w:p>
        </w:tc>
        <w:tc>
          <w:tcPr>
            <w:tcW w:w="3418"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Expunere, conversaţie, demonstraţie didactică, problematizare</w:t>
            </w:r>
          </w:p>
        </w:tc>
        <w:tc>
          <w:tcPr>
            <w:tcW w:w="3302"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Times New Roman" w:hAnsi="Times New Roman"/>
              </w:rPr>
              <w:t>[3]</w:t>
            </w:r>
          </w:p>
        </w:tc>
      </w:tr>
      <w:tr>
        <w:trPr>
          <w:trHeight w:val="397" w:hRule="atLeast"/>
        </w:trPr>
        <w:tc>
          <w:tcPr>
            <w:tcW w:w="3771"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 xml:space="preserve">8.1.10. </w:t>
            </w:r>
            <w:r>
              <w:rPr>
                <w:rFonts w:cs="Times New Roman" w:ascii="Cambria" w:hAnsi="Cambria"/>
                <w:b/>
                <w:bCs/>
                <w:sz w:val="20"/>
                <w:szCs w:val="20"/>
                <w:lang w:val="ro-RO"/>
              </w:rPr>
              <w:t xml:space="preserve">Calculul diferențial al funcțiilor de o singură variabilă. </w:t>
            </w:r>
            <w:r>
              <w:rPr>
                <w:rFonts w:cs="Times New Roman" w:ascii="Cambria" w:hAnsi="Cambria"/>
                <w:sz w:val="20"/>
                <w:szCs w:val="20"/>
                <w:lang w:val="ro-RO"/>
              </w:rPr>
              <w:t>Noțiunea de derivată și diferențială. Proprietăți. Regula lui L’Hospital.  Derivate de ordin superior. Determinarea punctelor de extrem local ale unei funcții</w:t>
            </w:r>
          </w:p>
        </w:tc>
        <w:tc>
          <w:tcPr>
            <w:tcW w:w="3418"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Expunere, conversaţie, demonstraţie didactică, problematizare</w:t>
            </w:r>
          </w:p>
        </w:tc>
        <w:tc>
          <w:tcPr>
            <w:tcW w:w="3302"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Times New Roman" w:hAnsi="Times New Roman"/>
              </w:rPr>
              <w:t>[3]</w:t>
            </w:r>
          </w:p>
        </w:tc>
      </w:tr>
      <w:tr>
        <w:trPr>
          <w:trHeight w:val="397" w:hRule="atLeast"/>
        </w:trPr>
        <w:tc>
          <w:tcPr>
            <w:tcW w:w="3771"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lang w:val="ro-RO"/>
              </w:rPr>
              <w:t>8.1.11</w:t>
            </w:r>
            <w:r>
              <w:rPr>
                <w:rFonts w:cs="Times New Roman" w:ascii="Cambria" w:hAnsi="Cambria"/>
                <w:sz w:val="20"/>
                <w:szCs w:val="20"/>
              </w:rPr>
              <w:t xml:space="preserve">. </w:t>
            </w:r>
            <w:r>
              <w:rPr>
                <w:rFonts w:cs="Times New Roman" w:ascii="Cambria" w:hAnsi="Cambria"/>
                <w:b/>
                <w:bCs/>
                <w:sz w:val="20"/>
                <w:szCs w:val="20"/>
                <w:lang w:val="ro-RO"/>
              </w:rPr>
              <w:t xml:space="preserve">Calculul diferențial al funcțiilor de mai multe variabile. </w:t>
            </w:r>
            <w:r>
              <w:rPr>
                <w:rFonts w:cs="Times New Roman" w:ascii="Cambria" w:hAnsi="Cambria"/>
                <w:sz w:val="20"/>
                <w:szCs w:val="20"/>
                <w:lang w:val="es-ES"/>
              </w:rPr>
              <w:t xml:space="preserve">Derivate parţiale, derivată după o direcţie, diferenţiala Fréchet, </w:t>
            </w:r>
            <w:r>
              <w:rPr>
                <w:rFonts w:cs="Times New Roman" w:ascii="Cambria" w:hAnsi="Cambria"/>
                <w:sz w:val="20"/>
                <w:szCs w:val="20"/>
                <w:lang w:val="ro-RO"/>
              </w:rPr>
              <w:t>proprietăți</w:t>
            </w:r>
          </w:p>
        </w:tc>
        <w:tc>
          <w:tcPr>
            <w:tcW w:w="3418"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Expunere, conversaţie, demonstraţie didactică, problematizare</w:t>
            </w:r>
          </w:p>
        </w:tc>
        <w:tc>
          <w:tcPr>
            <w:tcW w:w="3302"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Times New Roman" w:hAnsi="Times New Roman"/>
              </w:rPr>
              <w:t>[3]</w:t>
            </w:r>
          </w:p>
        </w:tc>
      </w:tr>
      <w:tr>
        <w:trPr>
          <w:trHeight w:val="397" w:hRule="atLeast"/>
        </w:trPr>
        <w:tc>
          <w:tcPr>
            <w:tcW w:w="3771"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lang w:val="ro-RO"/>
              </w:rPr>
              <w:t>8.1.12</w:t>
            </w:r>
            <w:r>
              <w:rPr>
                <w:rFonts w:cs="Times New Roman" w:ascii="Cambria" w:hAnsi="Cambria"/>
                <w:sz w:val="20"/>
                <w:szCs w:val="20"/>
              </w:rPr>
              <w:t xml:space="preserve">. </w:t>
            </w:r>
            <w:r>
              <w:rPr>
                <w:rFonts w:cs="Times New Roman" w:ascii="Cambria" w:hAnsi="Cambria"/>
                <w:b/>
                <w:bCs/>
                <w:sz w:val="20"/>
                <w:szCs w:val="20"/>
                <w:lang w:val="ro-RO"/>
              </w:rPr>
              <w:t xml:space="preserve">Calculul diferențial al funcțiilor de mai multe variabile. </w:t>
            </w:r>
            <w:r>
              <w:rPr>
                <w:rFonts w:cs="Times New Roman" w:ascii="Cambria" w:hAnsi="Cambria"/>
                <w:sz w:val="20"/>
                <w:szCs w:val="20"/>
                <w:lang w:val="es-ES"/>
              </w:rPr>
              <w:t>Derivatele parţiale ale funcţiilor compuse</w:t>
            </w:r>
          </w:p>
        </w:tc>
        <w:tc>
          <w:tcPr>
            <w:tcW w:w="3418"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Expunere, conversaţie, demonstraţie didactică, problematizare</w:t>
            </w:r>
          </w:p>
        </w:tc>
        <w:tc>
          <w:tcPr>
            <w:tcW w:w="3302"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Times New Roman" w:hAnsi="Times New Roman"/>
              </w:rPr>
              <w:t>[3]</w:t>
            </w:r>
          </w:p>
        </w:tc>
      </w:tr>
      <w:tr>
        <w:trPr>
          <w:trHeight w:val="397" w:hRule="atLeast"/>
        </w:trPr>
        <w:tc>
          <w:tcPr>
            <w:tcW w:w="3771"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8.1.1</w:t>
            </w:r>
            <w:r>
              <w:rPr>
                <w:rFonts w:cs="Times New Roman" w:ascii="Cambria" w:hAnsi="Cambria"/>
                <w:sz w:val="20"/>
                <w:szCs w:val="20"/>
                <w:lang w:val="ro-RO"/>
              </w:rPr>
              <w:t>3</w:t>
            </w:r>
            <w:r>
              <w:rPr>
                <w:rFonts w:cs="Times New Roman" w:ascii="Cambria" w:hAnsi="Cambria"/>
                <w:sz w:val="20"/>
                <w:szCs w:val="20"/>
              </w:rPr>
              <w:t xml:space="preserve">. </w:t>
            </w:r>
            <w:r>
              <w:rPr>
                <w:rFonts w:cs="Times New Roman" w:ascii="Cambria" w:hAnsi="Cambria"/>
                <w:b/>
                <w:bCs/>
                <w:sz w:val="20"/>
                <w:szCs w:val="20"/>
                <w:lang w:val="ro-RO"/>
              </w:rPr>
              <w:t xml:space="preserve">Calculul diferențial al funcțiilor de mai multe variabile. </w:t>
            </w:r>
            <w:r>
              <w:rPr>
                <w:rFonts w:cs="Times New Roman" w:ascii="Cambria" w:hAnsi="Cambria"/>
                <w:sz w:val="20"/>
                <w:szCs w:val="20"/>
                <w:lang w:val="es-ES"/>
              </w:rPr>
              <w:t>Derivate parţiale de ordin superior, teorema lui Schwarz</w:t>
            </w:r>
          </w:p>
        </w:tc>
        <w:tc>
          <w:tcPr>
            <w:tcW w:w="3418"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Expunere, conversaţie, demonstraţie didactică, problematizare</w:t>
            </w:r>
          </w:p>
        </w:tc>
        <w:tc>
          <w:tcPr>
            <w:tcW w:w="3302"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Times New Roman" w:hAnsi="Times New Roman"/>
              </w:rPr>
              <w:t>[3]</w:t>
            </w:r>
          </w:p>
        </w:tc>
      </w:tr>
      <w:tr>
        <w:trPr>
          <w:trHeight w:val="397" w:hRule="atLeast"/>
        </w:trPr>
        <w:tc>
          <w:tcPr>
            <w:tcW w:w="3771"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8.1.1</w:t>
            </w:r>
            <w:r>
              <w:rPr>
                <w:rFonts w:cs="Times New Roman" w:ascii="Cambria" w:hAnsi="Cambria"/>
                <w:sz w:val="20"/>
                <w:szCs w:val="20"/>
                <w:lang w:val="ro-RO"/>
              </w:rPr>
              <w:t>4</w:t>
            </w:r>
            <w:r>
              <w:rPr>
                <w:rFonts w:cs="Times New Roman" w:ascii="Cambria" w:hAnsi="Cambria"/>
                <w:sz w:val="20"/>
                <w:szCs w:val="20"/>
              </w:rPr>
              <w:t xml:space="preserve">. </w:t>
            </w:r>
            <w:r>
              <w:rPr>
                <w:rFonts w:cs="Times New Roman" w:ascii="Cambria" w:hAnsi="Cambria"/>
                <w:b/>
                <w:bCs/>
                <w:sz w:val="20"/>
                <w:szCs w:val="20"/>
                <w:lang w:val="ro-RO"/>
              </w:rPr>
              <w:t xml:space="preserve">Calculul diferențial al funcțiilor de mai multe variabile. </w:t>
            </w:r>
            <w:r>
              <w:rPr>
                <w:rFonts w:cs="Times New Roman" w:ascii="Cambria" w:hAnsi="Cambria"/>
                <w:sz w:val="20"/>
                <w:szCs w:val="20"/>
                <w:lang w:val="es-ES"/>
              </w:rPr>
              <w:t>Extreme</w:t>
            </w:r>
            <w:r>
              <w:rPr>
                <w:rFonts w:cs="Times New Roman" w:ascii="Cambria" w:hAnsi="Cambria"/>
                <w:sz w:val="20"/>
                <w:szCs w:val="20"/>
                <w:lang w:val="hu-HU"/>
              </w:rPr>
              <w:t>le</w:t>
            </w:r>
            <w:r>
              <w:rPr>
                <w:rFonts w:cs="Times New Roman" w:ascii="Cambria" w:hAnsi="Cambria"/>
                <w:sz w:val="20"/>
                <w:szCs w:val="20"/>
                <w:lang w:val="es-ES"/>
              </w:rPr>
              <w:t xml:space="preserve"> locale </w:t>
            </w:r>
            <w:r>
              <w:rPr>
                <w:rFonts w:cs="Times New Roman" w:ascii="Cambria" w:hAnsi="Cambria"/>
                <w:sz w:val="20"/>
                <w:szCs w:val="20"/>
                <w:lang w:val="hu-HU"/>
              </w:rPr>
              <w:t>ale</w:t>
            </w:r>
            <w:r>
              <w:rPr>
                <w:rFonts w:cs="Times New Roman" w:ascii="Cambria" w:hAnsi="Cambria"/>
                <w:sz w:val="20"/>
                <w:szCs w:val="20"/>
                <w:lang w:val="es-ES"/>
              </w:rPr>
              <w:t xml:space="preserve">  funcţii</w:t>
            </w:r>
            <w:r>
              <w:rPr>
                <w:rFonts w:cs="Times New Roman" w:ascii="Cambria" w:hAnsi="Cambria"/>
                <w:sz w:val="20"/>
                <w:szCs w:val="20"/>
                <w:lang w:val="hu-HU"/>
              </w:rPr>
              <w:t>lor</w:t>
            </w:r>
            <w:r>
              <w:rPr>
                <w:rFonts w:cs="Times New Roman" w:ascii="Cambria" w:hAnsi="Cambria"/>
                <w:sz w:val="20"/>
                <w:szCs w:val="20"/>
                <w:lang w:val="es-ES"/>
              </w:rPr>
              <w:t xml:space="preserve"> de mai multe variabile</w:t>
            </w:r>
          </w:p>
        </w:tc>
        <w:tc>
          <w:tcPr>
            <w:tcW w:w="3418"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Expunere, conversaţie, demonstraţie didactică, problematizare</w:t>
            </w:r>
          </w:p>
        </w:tc>
        <w:tc>
          <w:tcPr>
            <w:tcW w:w="3302"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Times New Roman" w:hAnsi="Times New Roman"/>
              </w:rPr>
              <w:t>[3]</w:t>
            </w:r>
          </w:p>
        </w:tc>
      </w:tr>
      <w:tr>
        <w:trPr>
          <w:trHeight w:val="397" w:hRule="atLeast"/>
        </w:trPr>
        <w:tc>
          <w:tcPr>
            <w:tcW w:w="10491"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b/>
                <w:bCs/>
              </w:rPr>
            </w:pPr>
            <w:r>
              <w:rPr>
                <w:rFonts w:ascii="Cambria" w:hAnsi="Cambria"/>
                <w:b/>
                <w:bCs/>
                <w:sz w:val="20"/>
                <w:szCs w:val="20"/>
              </w:rPr>
              <w:t>Bibliografie</w:t>
            </w:r>
          </w:p>
        </w:tc>
      </w:tr>
      <w:tr>
        <w:trPr>
          <w:trHeight w:val="191" w:hRule="atLeast"/>
        </w:trPr>
        <w:tc>
          <w:tcPr>
            <w:tcW w:w="10491"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numPr>
                <w:ilvl w:val="0"/>
                <w:numId w:val="1"/>
              </w:numPr>
              <w:rPr>
                <w:sz w:val="20"/>
                <w:szCs w:val="20"/>
              </w:rPr>
            </w:pPr>
            <w:r>
              <w:rPr>
                <w:rFonts w:cs="Times New Roman" w:ascii="Cambria" w:hAnsi="Cambria"/>
                <w:sz w:val="20"/>
                <w:szCs w:val="20"/>
                <w:lang w:val="es-ES"/>
              </w:rPr>
              <w:t xml:space="preserve">Chiriţă S., </w:t>
            </w:r>
            <w:r>
              <w:rPr>
                <w:rFonts w:cs="Times New Roman" w:ascii="Cambria" w:hAnsi="Cambria"/>
                <w:i/>
                <w:sz w:val="20"/>
                <w:szCs w:val="20"/>
                <w:lang w:val="es-ES"/>
              </w:rPr>
              <w:t>Probleme de matematici superioare,</w:t>
            </w:r>
            <w:r>
              <w:rPr>
                <w:rFonts w:cs="Times New Roman" w:ascii="Cambria" w:hAnsi="Cambria"/>
                <w:sz w:val="20"/>
                <w:szCs w:val="20"/>
                <w:lang w:val="es-ES"/>
              </w:rPr>
              <w:t xml:space="preserve"> Editura Didactică și Pedagogică, Bucureşti, 1989.</w:t>
            </w:r>
          </w:p>
          <w:p>
            <w:pPr>
              <w:pStyle w:val="Normal"/>
              <w:widowControl/>
              <w:numPr>
                <w:ilvl w:val="0"/>
                <w:numId w:val="1"/>
              </w:numPr>
              <w:rPr>
                <w:sz w:val="20"/>
                <w:szCs w:val="20"/>
              </w:rPr>
            </w:pPr>
            <w:r>
              <w:rPr>
                <w:rFonts w:cs="Times New Roman" w:ascii="Cambria" w:hAnsi="Cambria"/>
                <w:sz w:val="20"/>
                <w:szCs w:val="20"/>
                <w:lang w:val="es-ES"/>
              </w:rPr>
              <w:t xml:space="preserve">Finta B. – Kiss E. – Bartha Zs., </w:t>
            </w:r>
            <w:r>
              <w:rPr>
                <w:rFonts w:cs="Times New Roman" w:ascii="Cambria" w:hAnsi="Cambria"/>
                <w:i/>
                <w:sz w:val="20"/>
                <w:szCs w:val="20"/>
                <w:lang w:val="es-ES"/>
              </w:rPr>
              <w:t>Algebrai struktúrák – feladatgyűjtemény</w:t>
            </w:r>
            <w:r>
              <w:rPr>
                <w:rFonts w:cs="Times New Roman" w:ascii="Cambria" w:hAnsi="Cambria"/>
                <w:sz w:val="20"/>
                <w:szCs w:val="20"/>
                <w:lang w:val="es-ES"/>
              </w:rPr>
              <w:t>, Scientia Kiadó, Kolozsvár, 2006.</w:t>
            </w:r>
          </w:p>
          <w:p>
            <w:pPr>
              <w:pStyle w:val="Normal"/>
              <w:widowControl/>
              <w:numPr>
                <w:ilvl w:val="0"/>
                <w:numId w:val="1"/>
              </w:numPr>
              <w:rPr>
                <w:sz w:val="20"/>
                <w:szCs w:val="20"/>
              </w:rPr>
            </w:pPr>
            <w:r>
              <w:rPr>
                <w:rFonts w:cs="Times New Roman" w:ascii="Cambria" w:hAnsi="Cambria"/>
                <w:sz w:val="20"/>
                <w:szCs w:val="20"/>
                <w:lang w:val="es-ES"/>
              </w:rPr>
              <w:t xml:space="preserve">Finta Z., </w:t>
            </w:r>
            <w:r>
              <w:rPr>
                <w:rFonts w:cs="Times New Roman" w:ascii="Cambria" w:hAnsi="Cambria"/>
                <w:i/>
                <w:sz w:val="20"/>
                <w:szCs w:val="20"/>
                <w:lang w:val="es-ES"/>
              </w:rPr>
              <w:t>Matematikai analízis</w:t>
            </w:r>
            <w:r>
              <w:rPr>
                <w:rFonts w:cs="Times New Roman" w:ascii="Cambria" w:hAnsi="Cambria"/>
                <w:sz w:val="20"/>
                <w:szCs w:val="20"/>
                <w:lang w:val="es-ES"/>
              </w:rPr>
              <w:t xml:space="preserve">, </w:t>
            </w:r>
            <w:r>
              <w:rPr>
                <w:rFonts w:cs="Times New Roman" w:ascii="Cambria" w:hAnsi="Cambria"/>
                <w:sz w:val="20"/>
                <w:szCs w:val="20"/>
                <w:lang w:val="hu-HU"/>
              </w:rPr>
              <w:t>Státus Kiadó</w:t>
            </w:r>
            <w:r>
              <w:rPr>
                <w:rFonts w:cs="Times New Roman" w:ascii="Cambria" w:hAnsi="Cambria"/>
                <w:sz w:val="20"/>
                <w:szCs w:val="20"/>
                <w:lang w:val="es-ES"/>
              </w:rPr>
              <w:t>, Csíkszereda, 2017.</w:t>
            </w:r>
          </w:p>
          <w:p>
            <w:pPr>
              <w:pStyle w:val="Normal"/>
              <w:widowControl/>
              <w:numPr>
                <w:ilvl w:val="0"/>
                <w:numId w:val="1"/>
              </w:numPr>
              <w:rPr>
                <w:sz w:val="20"/>
                <w:szCs w:val="20"/>
              </w:rPr>
            </w:pPr>
            <w:r>
              <w:rPr>
                <w:rFonts w:cs="Times New Roman" w:ascii="Cambria" w:hAnsi="Cambria"/>
                <w:sz w:val="20"/>
                <w:szCs w:val="20"/>
                <w:lang w:val="es-ES"/>
              </w:rPr>
              <w:t xml:space="preserve">Kuros A.G., </w:t>
            </w:r>
            <w:r>
              <w:rPr>
                <w:rFonts w:cs="Times New Roman" w:ascii="Cambria" w:hAnsi="Cambria"/>
                <w:i/>
                <w:sz w:val="20"/>
                <w:szCs w:val="20"/>
                <w:lang w:val="es-ES"/>
              </w:rPr>
              <w:t>Felsőbb algebra</w:t>
            </w:r>
            <w:r>
              <w:rPr>
                <w:rFonts w:cs="Times New Roman" w:ascii="Cambria" w:hAnsi="Cambria"/>
                <w:sz w:val="20"/>
                <w:szCs w:val="20"/>
                <w:lang w:val="es-ES"/>
              </w:rPr>
              <w:t>, Tankönyvkiadó, Budapest, 1978.</w:t>
            </w:r>
          </w:p>
          <w:p>
            <w:pPr>
              <w:pStyle w:val="Normal"/>
              <w:numPr>
                <w:ilvl w:val="0"/>
                <w:numId w:val="1"/>
              </w:numPr>
              <w:spacing w:lineRule="auto" w:line="240" w:before="0" w:after="0"/>
              <w:rPr>
                <w:sz w:val="20"/>
                <w:szCs w:val="20"/>
              </w:rPr>
            </w:pPr>
            <w:r>
              <w:rPr>
                <w:rFonts w:cs="Times New Roman" w:ascii="Cambria" w:hAnsi="Cambria"/>
                <w:sz w:val="20"/>
                <w:szCs w:val="20"/>
                <w:lang w:val="es-ES"/>
              </w:rPr>
              <w:t xml:space="preserve">Mezei I. – Varga Cs., </w:t>
            </w:r>
            <w:r>
              <w:rPr>
                <w:rFonts w:cs="Times New Roman" w:ascii="Cambria" w:hAnsi="Cambria"/>
                <w:i/>
                <w:sz w:val="20"/>
                <w:szCs w:val="20"/>
                <w:lang w:val="es-ES"/>
              </w:rPr>
              <w:t>Analitikus geometria</w:t>
            </w:r>
            <w:r>
              <w:rPr>
                <w:rFonts w:cs="Times New Roman" w:ascii="Cambria" w:hAnsi="Cambria"/>
                <w:sz w:val="20"/>
                <w:szCs w:val="20"/>
                <w:lang w:val="es-ES"/>
              </w:rPr>
              <w:t>, Kolozsvári Egyetemi Kiadó, Kolozsvár, 2010.</w:t>
            </w:r>
          </w:p>
        </w:tc>
      </w:tr>
      <w:tr>
        <w:trPr>
          <w:trHeight w:val="397" w:hRule="atLeast"/>
        </w:trPr>
        <w:tc>
          <w:tcPr>
            <w:tcW w:w="377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Cambria" w:hAnsi="Cambria"/>
                <w:b/>
                <w:sz w:val="20"/>
                <w:szCs w:val="20"/>
              </w:rPr>
            </w:pPr>
            <w:r>
              <w:rPr>
                <w:rFonts w:ascii="Cambria" w:hAnsi="Cambria"/>
                <w:b/>
                <w:sz w:val="20"/>
                <w:szCs w:val="20"/>
              </w:rPr>
              <w:t>8.2 Seminar / laborator</w:t>
            </w:r>
          </w:p>
        </w:tc>
        <w:tc>
          <w:tcPr>
            <w:tcW w:w="341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Cambria" w:hAnsi="Cambria"/>
                <w:b/>
                <w:sz w:val="20"/>
                <w:szCs w:val="20"/>
              </w:rPr>
            </w:pPr>
            <w:r>
              <w:rPr>
                <w:rFonts w:ascii="Cambria" w:hAnsi="Cambria"/>
                <w:b/>
                <w:sz w:val="20"/>
                <w:szCs w:val="20"/>
              </w:rPr>
              <w:t>Metode de predare - învățare</w:t>
            </w:r>
          </w:p>
        </w:tc>
        <w:tc>
          <w:tcPr>
            <w:tcW w:w="330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Cambria" w:hAnsi="Cambria"/>
                <w:b/>
                <w:sz w:val="20"/>
                <w:szCs w:val="20"/>
              </w:rPr>
            </w:pPr>
            <w:r>
              <w:rPr>
                <w:rFonts w:eastAsia="Calibri" w:cs="Times New Roman" w:ascii="Cambria" w:hAnsi="Cambria"/>
                <w:b/>
                <w:kern w:val="0"/>
                <w:sz w:val="20"/>
                <w:szCs w:val="20"/>
              </w:rPr>
              <w:t>Observații</w:t>
            </w:r>
          </w:p>
        </w:tc>
      </w:tr>
      <w:tr>
        <w:trPr>
          <w:trHeight w:val="397" w:hRule="atLeast"/>
        </w:trPr>
        <w:tc>
          <w:tcPr>
            <w:tcW w:w="377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 xml:space="preserve">8.2.1. </w:t>
            </w:r>
            <w:r>
              <w:rPr>
                <w:rFonts w:cs="Times New Roman" w:ascii="Cambria" w:hAnsi="Cambria"/>
                <w:b/>
                <w:bCs/>
                <w:sz w:val="20"/>
                <w:szCs w:val="20"/>
                <w:lang w:val="ro-RO"/>
              </w:rPr>
              <w:t xml:space="preserve">Spații liniare </w:t>
            </w:r>
            <w:r>
              <w:rPr>
                <w:rFonts w:cs="Times New Roman" w:ascii="Cambria" w:hAnsi="Cambria"/>
                <w:sz w:val="20"/>
                <w:szCs w:val="20"/>
              </w:rPr>
              <w:t>–</w:t>
            </w:r>
            <w:r>
              <w:rPr>
                <w:rFonts w:cs="Times New Roman" w:ascii="Cambria" w:hAnsi="Cambria"/>
                <w:sz w:val="20"/>
                <w:szCs w:val="20"/>
                <w:lang w:val="es-ES"/>
              </w:rPr>
              <w:t xml:space="preserve"> exerciţii</w:t>
            </w:r>
          </w:p>
        </w:tc>
        <w:tc>
          <w:tcPr>
            <w:tcW w:w="3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Conversaţie, problematizare</w:t>
            </w:r>
          </w:p>
        </w:tc>
        <w:tc>
          <w:tcPr>
            <w:tcW w:w="330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[2] din bibliografie</w:t>
            </w:r>
          </w:p>
        </w:tc>
      </w:tr>
      <w:tr>
        <w:trPr>
          <w:trHeight w:val="397" w:hRule="atLeast"/>
        </w:trPr>
        <w:tc>
          <w:tcPr>
            <w:tcW w:w="377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 xml:space="preserve">8.2.2. </w:t>
            </w:r>
            <w:r>
              <w:rPr>
                <w:rFonts w:cs="Times New Roman" w:ascii="Cambria" w:hAnsi="Cambria"/>
                <w:b/>
                <w:bCs/>
                <w:sz w:val="20"/>
                <w:szCs w:val="20"/>
                <w:lang w:val="ro-RO"/>
              </w:rPr>
              <w:t xml:space="preserve">Transformări liniare </w:t>
            </w:r>
            <w:r>
              <w:rPr>
                <w:rFonts w:cs="Times New Roman" w:ascii="Cambria" w:hAnsi="Cambria"/>
                <w:sz w:val="20"/>
                <w:szCs w:val="20"/>
              </w:rPr>
              <w:t>– exerciţii</w:t>
            </w:r>
          </w:p>
        </w:tc>
        <w:tc>
          <w:tcPr>
            <w:tcW w:w="3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Conversaţie, problematizare</w:t>
            </w:r>
          </w:p>
        </w:tc>
        <w:tc>
          <w:tcPr>
            <w:tcW w:w="330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[2]</w:t>
            </w:r>
          </w:p>
        </w:tc>
      </w:tr>
      <w:tr>
        <w:trPr>
          <w:trHeight w:val="397" w:hRule="atLeast"/>
        </w:trPr>
        <w:tc>
          <w:tcPr>
            <w:tcW w:w="377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8.2.3.</w:t>
            </w:r>
            <w:r>
              <w:rPr>
                <w:rFonts w:cs="Times New Roman" w:ascii="Cambria" w:hAnsi="Cambria"/>
                <w:b/>
                <w:bCs/>
                <w:sz w:val="20"/>
                <w:szCs w:val="20"/>
                <w:lang w:val="ro-RO"/>
              </w:rPr>
              <w:t xml:space="preserve"> Geometria analitică a spațiului </w:t>
            </w:r>
            <w:r>
              <w:rPr>
                <w:rFonts w:cs="Times New Roman" w:ascii="Cambria" w:hAnsi="Cambria"/>
                <w:sz w:val="20"/>
                <w:szCs w:val="20"/>
                <w:lang w:val="es-ES"/>
              </w:rPr>
              <w:t xml:space="preserve"> </w:t>
            </w:r>
            <w:r>
              <w:rPr>
                <w:rFonts w:cs="Times New Roman" w:ascii="Cambria" w:hAnsi="Cambria"/>
                <w:sz w:val="20"/>
                <w:szCs w:val="20"/>
              </w:rPr>
              <w:t>– exerciţii</w:t>
            </w:r>
          </w:p>
        </w:tc>
        <w:tc>
          <w:tcPr>
            <w:tcW w:w="3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Conversaţie, problematizare</w:t>
            </w:r>
          </w:p>
        </w:tc>
        <w:tc>
          <w:tcPr>
            <w:tcW w:w="330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Times New Roman" w:hAnsi="Times New Roman"/>
              </w:rPr>
              <w:t>[1]</w:t>
            </w:r>
          </w:p>
        </w:tc>
      </w:tr>
      <w:tr>
        <w:trPr>
          <w:trHeight w:val="397" w:hRule="atLeast"/>
        </w:trPr>
        <w:tc>
          <w:tcPr>
            <w:tcW w:w="377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8.2.</w:t>
            </w:r>
            <w:r>
              <w:rPr>
                <w:rFonts w:cs="Times New Roman" w:ascii="Cambria" w:hAnsi="Cambria"/>
                <w:sz w:val="20"/>
                <w:szCs w:val="20"/>
                <w:lang w:val="ro-RO"/>
              </w:rPr>
              <w:t>4</w:t>
            </w:r>
            <w:r>
              <w:rPr>
                <w:rFonts w:cs="Times New Roman" w:ascii="Cambria" w:hAnsi="Cambria"/>
                <w:sz w:val="20"/>
                <w:szCs w:val="20"/>
              </w:rPr>
              <w:t>.</w:t>
            </w:r>
            <w:r>
              <w:rPr>
                <w:rFonts w:cs="Times New Roman" w:ascii="Cambria" w:hAnsi="Cambria"/>
                <w:b/>
                <w:bCs/>
                <w:sz w:val="20"/>
                <w:szCs w:val="20"/>
                <w:lang w:val="ro-RO"/>
              </w:rPr>
              <w:t xml:space="preserve"> Geometria analitică a spațiului </w:t>
            </w:r>
            <w:r>
              <w:rPr>
                <w:rFonts w:cs="Times New Roman" w:ascii="Cambria" w:hAnsi="Cambria"/>
                <w:sz w:val="20"/>
                <w:szCs w:val="20"/>
                <w:lang w:val="es-ES"/>
              </w:rPr>
              <w:t xml:space="preserve"> </w:t>
            </w:r>
            <w:r>
              <w:rPr>
                <w:rFonts w:cs="Times New Roman" w:ascii="Cambria" w:hAnsi="Cambria"/>
                <w:sz w:val="20"/>
                <w:szCs w:val="20"/>
              </w:rPr>
              <w:t>– exerciţii</w:t>
            </w:r>
          </w:p>
        </w:tc>
        <w:tc>
          <w:tcPr>
            <w:tcW w:w="3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Conversaţie, problematizare</w:t>
            </w:r>
          </w:p>
        </w:tc>
        <w:tc>
          <w:tcPr>
            <w:tcW w:w="330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Times New Roman" w:hAnsi="Times New Roman"/>
              </w:rPr>
              <w:t>[1]</w:t>
            </w:r>
          </w:p>
        </w:tc>
      </w:tr>
      <w:tr>
        <w:trPr>
          <w:trHeight w:val="397" w:hRule="atLeast"/>
        </w:trPr>
        <w:tc>
          <w:tcPr>
            <w:tcW w:w="3771"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8.2.</w:t>
            </w:r>
            <w:r>
              <w:rPr>
                <w:rFonts w:cs="Times New Roman" w:ascii="Cambria" w:hAnsi="Cambria"/>
                <w:sz w:val="20"/>
                <w:szCs w:val="20"/>
                <w:lang w:val="ro-RO"/>
              </w:rPr>
              <w:t>5</w:t>
            </w:r>
            <w:r>
              <w:rPr>
                <w:rFonts w:cs="Times New Roman" w:ascii="Cambria" w:hAnsi="Cambria"/>
                <w:sz w:val="20"/>
                <w:szCs w:val="20"/>
              </w:rPr>
              <w:t xml:space="preserve">. </w:t>
            </w:r>
            <w:r>
              <w:rPr>
                <w:rFonts w:cs="Times New Roman" w:ascii="Cambria" w:hAnsi="Cambria"/>
                <w:b/>
                <w:bCs/>
                <w:sz w:val="20"/>
                <w:szCs w:val="20"/>
                <w:lang w:val="ro-RO"/>
              </w:rPr>
              <w:t>Algebră vectorială</w:t>
            </w:r>
            <w:r>
              <w:rPr>
                <w:rFonts w:cs="Times New Roman" w:ascii="Cambria" w:hAnsi="Cambria"/>
                <w:sz w:val="20"/>
                <w:szCs w:val="20"/>
                <w:lang w:val="es-ES"/>
              </w:rPr>
              <w:t xml:space="preserve"> – exerciţii</w:t>
            </w:r>
          </w:p>
        </w:tc>
        <w:tc>
          <w:tcPr>
            <w:tcW w:w="3418"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Conversaţie, problematizare</w:t>
            </w:r>
          </w:p>
        </w:tc>
        <w:tc>
          <w:tcPr>
            <w:tcW w:w="3302"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Times New Roman" w:hAnsi="Times New Roman"/>
              </w:rPr>
              <w:t>[1]</w:t>
            </w:r>
          </w:p>
        </w:tc>
      </w:tr>
      <w:tr>
        <w:trPr>
          <w:trHeight w:val="397" w:hRule="atLeast"/>
        </w:trPr>
        <w:tc>
          <w:tcPr>
            <w:tcW w:w="3771"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 xml:space="preserve">8.2.6. </w:t>
            </w:r>
            <w:r>
              <w:rPr>
                <w:rFonts w:cs="Times New Roman" w:ascii="Cambria" w:hAnsi="Cambria"/>
                <w:b/>
                <w:bCs/>
                <w:sz w:val="20"/>
                <w:szCs w:val="20"/>
                <w:lang w:val="ro-RO"/>
              </w:rPr>
              <w:t>Șiruri de numere reale</w:t>
            </w:r>
            <w:r>
              <w:rPr>
                <w:rFonts w:cs="Times New Roman" w:ascii="Cambria" w:hAnsi="Cambria"/>
                <w:sz w:val="20"/>
                <w:szCs w:val="20"/>
                <w:lang w:val="es-ES"/>
              </w:rPr>
              <w:t xml:space="preserve"> – exerciţii</w:t>
            </w:r>
          </w:p>
        </w:tc>
        <w:tc>
          <w:tcPr>
            <w:tcW w:w="3418"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Conversaţie, problematizare</w:t>
            </w:r>
          </w:p>
        </w:tc>
        <w:tc>
          <w:tcPr>
            <w:tcW w:w="3302"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Times New Roman" w:hAnsi="Times New Roman"/>
              </w:rPr>
              <w:t>[1]</w:t>
            </w:r>
          </w:p>
        </w:tc>
      </w:tr>
      <w:tr>
        <w:trPr>
          <w:trHeight w:val="397" w:hRule="atLeast"/>
        </w:trPr>
        <w:tc>
          <w:tcPr>
            <w:tcW w:w="3771"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 xml:space="preserve">8.2.7. </w:t>
            </w:r>
            <w:r>
              <w:rPr>
                <w:rFonts w:cs="Times New Roman" w:ascii="Cambria" w:hAnsi="Cambria"/>
                <w:b/>
                <w:bCs/>
                <w:sz w:val="20"/>
                <w:szCs w:val="20"/>
                <w:lang w:val="ro-RO"/>
              </w:rPr>
              <w:t xml:space="preserve">Serii numerice </w:t>
            </w:r>
            <w:r>
              <w:rPr>
                <w:rFonts w:cs="Times New Roman" w:ascii="Cambria" w:hAnsi="Cambria"/>
                <w:sz w:val="20"/>
                <w:szCs w:val="20"/>
                <w:lang w:val="es-ES"/>
              </w:rPr>
              <w:t>– exerciţii</w:t>
            </w:r>
          </w:p>
        </w:tc>
        <w:tc>
          <w:tcPr>
            <w:tcW w:w="3418"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Conversaţie, problematizare</w:t>
            </w:r>
          </w:p>
        </w:tc>
        <w:tc>
          <w:tcPr>
            <w:tcW w:w="3302"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Times New Roman" w:hAnsi="Times New Roman"/>
              </w:rPr>
              <w:t>[1]</w:t>
            </w:r>
          </w:p>
        </w:tc>
      </w:tr>
      <w:tr>
        <w:trPr>
          <w:trHeight w:val="397" w:hRule="atLeast"/>
        </w:trPr>
        <w:tc>
          <w:tcPr>
            <w:tcW w:w="3771"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ascii="Cambria" w:hAnsi="Cambria"/>
                <w:sz w:val="20"/>
                <w:szCs w:val="20"/>
                <w:lang w:val="ro-RO"/>
              </w:rPr>
              <w:t xml:space="preserve">8.2.8. </w:t>
            </w:r>
            <w:r>
              <w:rPr>
                <w:rFonts w:cs="Times New Roman" w:ascii="Cambria" w:hAnsi="Cambria"/>
                <w:b/>
                <w:sz w:val="20"/>
                <w:szCs w:val="20"/>
                <w:lang w:val="fr-FR"/>
              </w:rPr>
              <w:t xml:space="preserve">Limita </w:t>
            </w:r>
            <w:r>
              <w:rPr>
                <w:rFonts w:cs="Times New Roman" w:ascii="Cambria" w:hAnsi="Cambria"/>
                <w:b/>
                <w:bCs/>
                <w:sz w:val="20"/>
                <w:szCs w:val="20"/>
                <w:lang w:val="es-ES"/>
              </w:rPr>
              <w:t>funcţii</w:t>
            </w:r>
            <w:r>
              <w:rPr>
                <w:rFonts w:cs="Times New Roman" w:ascii="Cambria" w:hAnsi="Cambria"/>
                <w:b/>
                <w:bCs/>
                <w:sz w:val="20"/>
                <w:szCs w:val="20"/>
                <w:lang w:val="ro-RO"/>
              </w:rPr>
              <w:t>lor</w:t>
            </w:r>
            <w:r>
              <w:rPr>
                <w:rFonts w:cs="Times New Roman" w:ascii="Cambria" w:hAnsi="Cambria"/>
                <w:b/>
                <w:bCs/>
                <w:sz w:val="20"/>
                <w:szCs w:val="20"/>
                <w:lang w:val="es-ES"/>
              </w:rPr>
              <w:t xml:space="preserve"> de</w:t>
            </w:r>
            <w:r>
              <w:rPr>
                <w:rFonts w:cs="Times New Roman" w:ascii="Cambria" w:hAnsi="Cambria"/>
                <w:b/>
                <w:bCs/>
                <w:sz w:val="20"/>
                <w:szCs w:val="20"/>
                <w:lang w:val="hu-HU"/>
              </w:rPr>
              <w:t xml:space="preserve"> o singur</w:t>
            </w:r>
            <w:r>
              <w:rPr>
                <w:rFonts w:cs="Times New Roman" w:ascii="Cambria" w:hAnsi="Cambria"/>
                <w:b/>
                <w:bCs/>
                <w:sz w:val="20"/>
                <w:szCs w:val="20"/>
                <w:lang w:val="ro-RO"/>
              </w:rPr>
              <w:t>ă variabilă</w:t>
            </w:r>
            <w:r>
              <w:rPr>
                <w:rFonts w:cs="Times New Roman" w:ascii="Cambria" w:hAnsi="Cambria"/>
                <w:b/>
                <w:sz w:val="20"/>
                <w:szCs w:val="20"/>
                <w:lang w:val="hu-HU"/>
              </w:rPr>
              <w:t xml:space="preserve"> </w:t>
            </w:r>
            <w:r>
              <w:rPr>
                <w:rFonts w:cs="Times New Roman" w:ascii="Cambria" w:hAnsi="Cambria"/>
                <w:b/>
                <w:bCs/>
                <w:sz w:val="20"/>
                <w:szCs w:val="20"/>
                <w:lang w:val="hu-HU"/>
              </w:rPr>
              <w:t xml:space="preserve"> </w:t>
            </w:r>
            <w:r>
              <w:rPr>
                <w:rFonts w:cs="Times New Roman" w:ascii="Cambria" w:hAnsi="Cambria"/>
                <w:b w:val="false"/>
                <w:bCs w:val="false"/>
                <w:sz w:val="20"/>
                <w:szCs w:val="20"/>
                <w:lang w:val="es-ES"/>
              </w:rPr>
              <w:t>– exerciţii</w:t>
            </w:r>
          </w:p>
        </w:tc>
        <w:tc>
          <w:tcPr>
            <w:tcW w:w="3418"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Conversaţie, problematizare</w:t>
            </w:r>
          </w:p>
        </w:tc>
        <w:tc>
          <w:tcPr>
            <w:tcW w:w="3302"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Times New Roman" w:hAnsi="Times New Roman"/>
              </w:rPr>
              <w:t>[1]</w:t>
            </w:r>
          </w:p>
        </w:tc>
      </w:tr>
      <w:tr>
        <w:trPr>
          <w:trHeight w:val="397" w:hRule="atLeast"/>
        </w:trPr>
        <w:tc>
          <w:tcPr>
            <w:tcW w:w="3771"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ascii="Cambria" w:hAnsi="Cambria"/>
                <w:sz w:val="20"/>
                <w:szCs w:val="20"/>
                <w:lang w:val="ro-RO"/>
              </w:rPr>
              <w:t xml:space="preserve">8.2.9. </w:t>
            </w:r>
            <w:r>
              <w:rPr>
                <w:rFonts w:cs="Times New Roman" w:ascii="Cambria" w:hAnsi="Cambria"/>
                <w:b/>
                <w:bCs/>
                <w:sz w:val="20"/>
                <w:szCs w:val="20"/>
                <w:lang w:val="es-ES"/>
              </w:rPr>
              <w:t>Limita funcţii</w:t>
            </w:r>
            <w:r>
              <w:rPr>
                <w:rFonts w:cs="Times New Roman" w:ascii="Cambria" w:hAnsi="Cambria"/>
                <w:b/>
                <w:bCs/>
                <w:sz w:val="20"/>
                <w:szCs w:val="20"/>
                <w:lang w:val="ro-RO"/>
              </w:rPr>
              <w:t>lor</w:t>
            </w:r>
            <w:r>
              <w:rPr>
                <w:rFonts w:cs="Times New Roman" w:ascii="Cambria" w:hAnsi="Cambria"/>
                <w:b/>
                <w:bCs/>
                <w:sz w:val="20"/>
                <w:szCs w:val="20"/>
                <w:lang w:val="es-ES"/>
              </w:rPr>
              <w:t xml:space="preserve"> de mai multe variabile</w:t>
            </w:r>
            <w:r>
              <w:rPr>
                <w:rFonts w:cs="Times New Roman" w:ascii="Cambria" w:hAnsi="Cambria"/>
                <w:sz w:val="20"/>
                <w:szCs w:val="20"/>
                <w:lang w:val="es-ES"/>
              </w:rPr>
              <w:t xml:space="preserve"> </w:t>
            </w:r>
            <w:r>
              <w:rPr>
                <w:rFonts w:cs="Times New Roman" w:ascii="Cambria" w:hAnsi="Cambria"/>
                <w:b/>
                <w:bCs/>
                <w:sz w:val="20"/>
                <w:szCs w:val="20"/>
                <w:lang w:val="ro-RO"/>
              </w:rPr>
              <w:t xml:space="preserve"> </w:t>
            </w:r>
            <w:r>
              <w:rPr>
                <w:rFonts w:cs="Times New Roman" w:ascii="Cambria" w:hAnsi="Cambria"/>
                <w:b w:val="false"/>
                <w:bCs w:val="false"/>
                <w:sz w:val="20"/>
                <w:szCs w:val="20"/>
                <w:lang w:val="es-ES"/>
              </w:rPr>
              <w:t>– exerciţii</w:t>
            </w:r>
          </w:p>
        </w:tc>
        <w:tc>
          <w:tcPr>
            <w:tcW w:w="3418"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Conversaţie, problematizare</w:t>
            </w:r>
          </w:p>
        </w:tc>
        <w:tc>
          <w:tcPr>
            <w:tcW w:w="3302"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Times New Roman" w:hAnsi="Times New Roman"/>
              </w:rPr>
              <w:t>[1]</w:t>
            </w:r>
          </w:p>
        </w:tc>
      </w:tr>
      <w:tr>
        <w:trPr>
          <w:trHeight w:val="397" w:hRule="atLeast"/>
        </w:trPr>
        <w:tc>
          <w:tcPr>
            <w:tcW w:w="3771"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ascii="Cambria" w:hAnsi="Cambria"/>
                <w:sz w:val="20"/>
                <w:szCs w:val="20"/>
                <w:lang w:val="ro-RO"/>
              </w:rPr>
              <w:t xml:space="preserve">8.2.10.  </w:t>
            </w:r>
            <w:r>
              <w:rPr>
                <w:rFonts w:cs="Times New Roman" w:ascii="Cambria" w:hAnsi="Cambria"/>
                <w:b/>
                <w:bCs/>
                <w:sz w:val="20"/>
                <w:szCs w:val="20"/>
                <w:lang w:val="ro-RO"/>
              </w:rPr>
              <w:t xml:space="preserve">Calculul diferențial al funcțiilor de o singură variabilă </w:t>
            </w:r>
            <w:r>
              <w:rPr>
                <w:rFonts w:cs="Times New Roman" w:ascii="Cambria" w:hAnsi="Cambria"/>
                <w:b w:val="false"/>
                <w:bCs w:val="false"/>
                <w:sz w:val="20"/>
                <w:szCs w:val="20"/>
                <w:lang w:val="es-ES"/>
              </w:rPr>
              <w:t>– exerciţii</w:t>
            </w:r>
          </w:p>
        </w:tc>
        <w:tc>
          <w:tcPr>
            <w:tcW w:w="3418"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Conversaţie, problematizare</w:t>
            </w:r>
          </w:p>
        </w:tc>
        <w:tc>
          <w:tcPr>
            <w:tcW w:w="3302"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Times New Roman" w:hAnsi="Times New Roman"/>
              </w:rPr>
              <w:t>[1]</w:t>
            </w:r>
          </w:p>
        </w:tc>
      </w:tr>
      <w:tr>
        <w:trPr>
          <w:trHeight w:val="397" w:hRule="atLeast"/>
        </w:trPr>
        <w:tc>
          <w:tcPr>
            <w:tcW w:w="3771"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lang w:val="ro-RO"/>
              </w:rPr>
              <w:t>8.1.11</w:t>
            </w:r>
            <w:r>
              <w:rPr>
                <w:rFonts w:cs="Times New Roman" w:ascii="Cambria" w:hAnsi="Cambria"/>
                <w:sz w:val="20"/>
                <w:szCs w:val="20"/>
              </w:rPr>
              <w:t xml:space="preserve">. </w:t>
            </w:r>
            <w:r>
              <w:rPr>
                <w:rFonts w:cs="Times New Roman" w:ascii="Cambria" w:hAnsi="Cambria"/>
                <w:b/>
                <w:bCs/>
                <w:sz w:val="20"/>
                <w:szCs w:val="20"/>
                <w:lang w:val="ro-RO"/>
              </w:rPr>
              <w:t xml:space="preserve">Calculul diferențial al funcțiilor de mai multe variabile </w:t>
            </w:r>
            <w:r>
              <w:rPr>
                <w:rFonts w:cs="Times New Roman" w:ascii="Cambria" w:hAnsi="Cambria"/>
                <w:b w:val="false"/>
                <w:bCs w:val="false"/>
                <w:sz w:val="20"/>
                <w:szCs w:val="20"/>
                <w:lang w:val="es-ES"/>
              </w:rPr>
              <w:t>– exerciţii</w:t>
            </w:r>
          </w:p>
        </w:tc>
        <w:tc>
          <w:tcPr>
            <w:tcW w:w="3418"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Conversaţie, problematizare</w:t>
            </w:r>
          </w:p>
        </w:tc>
        <w:tc>
          <w:tcPr>
            <w:tcW w:w="3302"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Times New Roman" w:hAnsi="Times New Roman"/>
              </w:rPr>
              <w:t>[1]</w:t>
            </w:r>
          </w:p>
        </w:tc>
      </w:tr>
      <w:tr>
        <w:trPr>
          <w:trHeight w:val="397" w:hRule="atLeast"/>
        </w:trPr>
        <w:tc>
          <w:tcPr>
            <w:tcW w:w="3771"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lang w:val="ro-RO"/>
              </w:rPr>
              <w:t>8.1.12</w:t>
            </w:r>
            <w:r>
              <w:rPr>
                <w:rFonts w:cs="Times New Roman" w:ascii="Cambria" w:hAnsi="Cambria"/>
                <w:sz w:val="20"/>
                <w:szCs w:val="20"/>
              </w:rPr>
              <w:t xml:space="preserve">. </w:t>
            </w:r>
            <w:r>
              <w:rPr>
                <w:rFonts w:cs="Times New Roman" w:ascii="Cambria" w:hAnsi="Cambria"/>
                <w:b/>
                <w:bCs/>
                <w:sz w:val="20"/>
                <w:szCs w:val="20"/>
                <w:lang w:val="ro-RO"/>
              </w:rPr>
              <w:t xml:space="preserve">Calculul diferențial al funcțiilor de mai multe variabile </w:t>
            </w:r>
            <w:r>
              <w:rPr>
                <w:rFonts w:cs="Times New Roman" w:ascii="Cambria" w:hAnsi="Cambria"/>
                <w:b w:val="false"/>
                <w:bCs w:val="false"/>
                <w:sz w:val="20"/>
                <w:szCs w:val="20"/>
                <w:lang w:val="es-ES"/>
              </w:rPr>
              <w:t>– exerciţii</w:t>
            </w:r>
          </w:p>
        </w:tc>
        <w:tc>
          <w:tcPr>
            <w:tcW w:w="3418"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Conversaţie, problematizare</w:t>
            </w:r>
          </w:p>
        </w:tc>
        <w:tc>
          <w:tcPr>
            <w:tcW w:w="3302"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Times New Roman" w:hAnsi="Times New Roman"/>
              </w:rPr>
              <w:t>[1]</w:t>
            </w:r>
          </w:p>
        </w:tc>
      </w:tr>
      <w:tr>
        <w:trPr>
          <w:trHeight w:val="397" w:hRule="atLeast"/>
        </w:trPr>
        <w:tc>
          <w:tcPr>
            <w:tcW w:w="3771"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lang w:val="ro-RO"/>
              </w:rPr>
              <w:t>8.1.13</w:t>
            </w:r>
            <w:r>
              <w:rPr>
                <w:rFonts w:cs="Times New Roman" w:ascii="Cambria" w:hAnsi="Cambria"/>
                <w:sz w:val="20"/>
                <w:szCs w:val="20"/>
              </w:rPr>
              <w:t xml:space="preserve">. </w:t>
            </w:r>
            <w:r>
              <w:rPr>
                <w:rFonts w:cs="Times New Roman" w:ascii="Cambria" w:hAnsi="Cambria"/>
                <w:b/>
                <w:bCs/>
                <w:sz w:val="20"/>
                <w:szCs w:val="20"/>
                <w:lang w:val="ro-RO"/>
              </w:rPr>
              <w:t xml:space="preserve">Calculul diferențial al funcțiilor de mai multe variabile </w:t>
            </w:r>
            <w:r>
              <w:rPr>
                <w:rFonts w:cs="Times New Roman" w:ascii="Cambria" w:hAnsi="Cambria"/>
                <w:b w:val="false"/>
                <w:bCs w:val="false"/>
                <w:sz w:val="20"/>
                <w:szCs w:val="20"/>
                <w:lang w:val="es-ES"/>
              </w:rPr>
              <w:t>– exerciţii</w:t>
            </w:r>
          </w:p>
        </w:tc>
        <w:tc>
          <w:tcPr>
            <w:tcW w:w="3418"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Conversaţie, problematizare</w:t>
            </w:r>
          </w:p>
        </w:tc>
        <w:tc>
          <w:tcPr>
            <w:tcW w:w="3302"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Times New Roman" w:hAnsi="Times New Roman"/>
              </w:rPr>
              <w:t>[1]</w:t>
            </w:r>
          </w:p>
        </w:tc>
      </w:tr>
      <w:tr>
        <w:trPr>
          <w:trHeight w:val="397" w:hRule="atLeast"/>
        </w:trPr>
        <w:tc>
          <w:tcPr>
            <w:tcW w:w="3771"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lang w:val="ro-RO"/>
              </w:rPr>
              <w:t>8.1.14</w:t>
            </w:r>
            <w:r>
              <w:rPr>
                <w:rFonts w:cs="Times New Roman" w:ascii="Cambria" w:hAnsi="Cambria"/>
                <w:sz w:val="20"/>
                <w:szCs w:val="20"/>
              </w:rPr>
              <w:t xml:space="preserve">. </w:t>
            </w:r>
            <w:r>
              <w:rPr>
                <w:rFonts w:cs="Times New Roman" w:ascii="Cambria" w:hAnsi="Cambria"/>
                <w:b/>
                <w:bCs/>
                <w:sz w:val="20"/>
                <w:szCs w:val="20"/>
                <w:lang w:val="ro-RO"/>
              </w:rPr>
              <w:t xml:space="preserve">Calculul diferențial al funcțiilor de mai multe variabile </w:t>
            </w:r>
            <w:r>
              <w:rPr>
                <w:rFonts w:cs="Times New Roman" w:ascii="Cambria" w:hAnsi="Cambria"/>
                <w:b w:val="false"/>
                <w:bCs w:val="false"/>
                <w:sz w:val="20"/>
                <w:szCs w:val="20"/>
                <w:lang w:val="es-ES"/>
              </w:rPr>
              <w:t>– exerciţii</w:t>
            </w:r>
          </w:p>
        </w:tc>
        <w:tc>
          <w:tcPr>
            <w:tcW w:w="3418"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Cambria" w:hAnsi="Cambria"/>
                <w:sz w:val="20"/>
                <w:szCs w:val="20"/>
              </w:rPr>
              <w:t>Conversaţie, problematizare</w:t>
            </w:r>
          </w:p>
        </w:tc>
        <w:tc>
          <w:tcPr>
            <w:tcW w:w="3302" w:type="dxa"/>
            <w:tcBorders>
              <w:left w:val="single" w:sz="4" w:space="0" w:color="000000"/>
              <w:bottom w:val="single" w:sz="4" w:space="0" w:color="000000"/>
              <w:right w:val="single" w:sz="4" w:space="0" w:color="000000"/>
            </w:tcBorders>
          </w:tcPr>
          <w:p>
            <w:pPr>
              <w:pStyle w:val="Normal"/>
              <w:spacing w:lineRule="auto" w:line="240" w:before="0" w:after="0"/>
              <w:jc w:val="left"/>
              <w:rPr/>
            </w:pPr>
            <w:r>
              <w:rPr>
                <w:rFonts w:cs="Times New Roman" w:ascii="Times New Roman" w:hAnsi="Times New Roman"/>
              </w:rPr>
              <w:t>[1]</w:t>
            </w:r>
          </w:p>
        </w:tc>
      </w:tr>
      <w:tr>
        <w:trPr>
          <w:trHeight w:val="397" w:hRule="atLeast"/>
        </w:trPr>
        <w:tc>
          <w:tcPr>
            <w:tcW w:w="10491" w:type="dxa"/>
            <w:gridSpan w:val="3"/>
            <w:tcBorders>
              <w:top w:val="single" w:sz="4" w:space="0" w:color="000000"/>
              <w:left w:val="single" w:sz="4" w:space="0" w:color="000000"/>
              <w:bottom w:val="single" w:sz="4" w:space="0" w:color="000000"/>
              <w:right w:val="single" w:sz="4" w:space="0" w:color="000000"/>
            </w:tcBorders>
            <w:vAlign w:val="center"/>
          </w:tcPr>
          <w:p>
            <w:pPr>
              <w:pStyle w:val="Normal"/>
              <w:tabs>
                <w:tab w:val="clear" w:pos="720"/>
                <w:tab w:val="left" w:pos="2715" w:leader="none"/>
              </w:tabs>
              <w:spacing w:lineRule="auto" w:line="240" w:before="0" w:after="0"/>
              <w:rPr>
                <w:b/>
                <w:bCs/>
              </w:rPr>
            </w:pPr>
            <w:r>
              <w:rPr>
                <w:rFonts w:ascii="Cambria" w:hAnsi="Cambria"/>
                <w:b/>
                <w:bCs/>
                <w:sz w:val="20"/>
                <w:szCs w:val="20"/>
              </w:rPr>
              <w:t>Bibliografie</w:t>
            </w:r>
          </w:p>
        </w:tc>
      </w:tr>
      <w:tr>
        <w:trPr>
          <w:trHeight w:val="397" w:hRule="atLeast"/>
        </w:trPr>
        <w:tc>
          <w:tcPr>
            <w:tcW w:w="10491" w:type="dxa"/>
            <w:gridSpan w:val="3"/>
            <w:tcBorders>
              <w:left w:val="single" w:sz="4" w:space="0" w:color="000000"/>
              <w:bottom w:val="single" w:sz="4" w:space="0" w:color="000000"/>
              <w:right w:val="single" w:sz="4" w:space="0" w:color="000000"/>
            </w:tcBorders>
            <w:vAlign w:val="center"/>
          </w:tcPr>
          <w:p>
            <w:pPr>
              <w:pStyle w:val="Normal"/>
              <w:widowControl/>
              <w:numPr>
                <w:ilvl w:val="0"/>
                <w:numId w:val="2"/>
              </w:numPr>
              <w:rPr>
                <w:rFonts w:ascii="Cambria" w:hAnsi="Cambria"/>
                <w:sz w:val="20"/>
                <w:szCs w:val="20"/>
              </w:rPr>
            </w:pPr>
            <w:r>
              <w:rPr>
                <w:rFonts w:cs="Times New Roman" w:ascii="Cambria" w:hAnsi="Cambria"/>
                <w:sz w:val="20"/>
                <w:szCs w:val="20"/>
              </w:rPr>
              <w:t xml:space="preserve">Chiriţă S., </w:t>
            </w:r>
            <w:r>
              <w:rPr>
                <w:rFonts w:cs="Times New Roman" w:ascii="Cambria" w:hAnsi="Cambria"/>
                <w:i/>
                <w:sz w:val="20"/>
                <w:szCs w:val="20"/>
              </w:rPr>
              <w:t>Probleme de matematici superioare,</w:t>
            </w:r>
            <w:r>
              <w:rPr>
                <w:rFonts w:cs="Times New Roman" w:ascii="Cambria" w:hAnsi="Cambria"/>
                <w:sz w:val="20"/>
                <w:szCs w:val="20"/>
              </w:rPr>
              <w:t xml:space="preserve"> Editura Didactică și Pedagogică, Bucureşti, 1989.</w:t>
            </w:r>
          </w:p>
          <w:p>
            <w:pPr>
              <w:pStyle w:val="Normal"/>
              <w:widowControl/>
              <w:numPr>
                <w:ilvl w:val="0"/>
                <w:numId w:val="2"/>
              </w:numPr>
              <w:rPr>
                <w:rFonts w:ascii="Cambria" w:hAnsi="Cambria"/>
                <w:sz w:val="20"/>
                <w:szCs w:val="20"/>
              </w:rPr>
            </w:pPr>
            <w:r>
              <w:rPr>
                <w:rFonts w:cs="Times New Roman" w:ascii="Cambria" w:hAnsi="Cambria"/>
                <w:sz w:val="20"/>
                <w:szCs w:val="20"/>
                <w:lang w:val="es-ES"/>
              </w:rPr>
              <w:t xml:space="preserve">Finta B. – Kiss E. – Bartha Zs., </w:t>
            </w:r>
            <w:r>
              <w:rPr>
                <w:rFonts w:cs="Times New Roman" w:ascii="Cambria" w:hAnsi="Cambria"/>
                <w:i/>
                <w:sz w:val="20"/>
                <w:szCs w:val="20"/>
                <w:lang w:val="es-ES"/>
              </w:rPr>
              <w:t>Algebrai struktúrák – feladatgyűjtemény</w:t>
            </w:r>
            <w:r>
              <w:rPr>
                <w:rFonts w:cs="Times New Roman" w:ascii="Cambria" w:hAnsi="Cambria"/>
                <w:sz w:val="20"/>
                <w:szCs w:val="20"/>
                <w:lang w:val="es-ES"/>
              </w:rPr>
              <w:t>, Scientia Kiadó, Kolozsvár, 2006.</w:t>
            </w:r>
          </w:p>
          <w:p>
            <w:pPr>
              <w:pStyle w:val="Normal"/>
              <w:widowControl/>
              <w:numPr>
                <w:ilvl w:val="0"/>
                <w:numId w:val="2"/>
              </w:numPr>
              <w:rPr>
                <w:rFonts w:ascii="Cambria" w:hAnsi="Cambria"/>
                <w:sz w:val="20"/>
                <w:szCs w:val="20"/>
              </w:rPr>
            </w:pPr>
            <w:r>
              <w:rPr>
                <w:rFonts w:cs="Times New Roman" w:ascii="Cambria" w:hAnsi="Cambria"/>
                <w:sz w:val="20"/>
                <w:szCs w:val="20"/>
                <w:lang w:val="es-ES"/>
              </w:rPr>
              <w:t xml:space="preserve">Finta Z., </w:t>
            </w:r>
            <w:r>
              <w:rPr>
                <w:rFonts w:cs="Times New Roman" w:ascii="Cambria" w:hAnsi="Cambria"/>
                <w:i/>
                <w:sz w:val="20"/>
                <w:szCs w:val="20"/>
                <w:lang w:val="es-ES"/>
              </w:rPr>
              <w:t>Matematikai analízis</w:t>
            </w:r>
            <w:r>
              <w:rPr>
                <w:rFonts w:cs="Times New Roman" w:ascii="Cambria" w:hAnsi="Cambria"/>
                <w:sz w:val="20"/>
                <w:szCs w:val="20"/>
                <w:lang w:val="es-ES"/>
              </w:rPr>
              <w:t xml:space="preserve">, </w:t>
            </w:r>
            <w:r>
              <w:rPr>
                <w:rFonts w:cs="Times New Roman" w:ascii="Cambria" w:hAnsi="Cambria"/>
                <w:sz w:val="20"/>
                <w:szCs w:val="20"/>
                <w:lang w:val="hu-HU"/>
              </w:rPr>
              <w:t>Státus Kiadó</w:t>
            </w:r>
            <w:r>
              <w:rPr>
                <w:rFonts w:cs="Times New Roman" w:ascii="Cambria" w:hAnsi="Cambria"/>
                <w:sz w:val="20"/>
                <w:szCs w:val="20"/>
                <w:lang w:val="es-ES"/>
              </w:rPr>
              <w:t>, Csíkszereda, 2017.</w:t>
            </w:r>
          </w:p>
          <w:p>
            <w:pPr>
              <w:pStyle w:val="Normal"/>
              <w:widowControl/>
              <w:numPr>
                <w:ilvl w:val="0"/>
                <w:numId w:val="2"/>
              </w:numPr>
              <w:rPr>
                <w:rFonts w:ascii="Cambria" w:hAnsi="Cambria"/>
                <w:sz w:val="20"/>
                <w:szCs w:val="20"/>
              </w:rPr>
            </w:pPr>
            <w:r>
              <w:rPr>
                <w:rFonts w:cs="Times New Roman" w:ascii="Cambria" w:hAnsi="Cambria"/>
                <w:sz w:val="20"/>
                <w:szCs w:val="20"/>
                <w:lang w:val="es-ES"/>
              </w:rPr>
              <w:t xml:space="preserve">Kuros A.G., </w:t>
            </w:r>
            <w:r>
              <w:rPr>
                <w:rFonts w:cs="Times New Roman" w:ascii="Cambria" w:hAnsi="Cambria"/>
                <w:i/>
                <w:sz w:val="20"/>
                <w:szCs w:val="20"/>
                <w:lang w:val="es-ES"/>
              </w:rPr>
              <w:t>Felsőbb algebra</w:t>
            </w:r>
            <w:r>
              <w:rPr>
                <w:rFonts w:cs="Times New Roman" w:ascii="Cambria" w:hAnsi="Cambria"/>
                <w:sz w:val="20"/>
                <w:szCs w:val="20"/>
                <w:lang w:val="es-ES"/>
              </w:rPr>
              <w:t>, Tankönyvkiadó, Budapest, 1978.</w:t>
            </w:r>
          </w:p>
          <w:p>
            <w:pPr>
              <w:pStyle w:val="Normal"/>
              <w:numPr>
                <w:ilvl w:val="0"/>
                <w:numId w:val="2"/>
              </w:numPr>
              <w:spacing w:lineRule="auto" w:line="240" w:before="0" w:after="0"/>
              <w:rPr>
                <w:rFonts w:ascii="Cambria" w:hAnsi="Cambria"/>
                <w:sz w:val="20"/>
                <w:szCs w:val="20"/>
              </w:rPr>
            </w:pPr>
            <w:r>
              <w:rPr>
                <w:rFonts w:eastAsia="Aptos" w:cs="Times New Roman" w:ascii="Cambria" w:hAnsi="Cambria"/>
                <w:sz w:val="20"/>
                <w:szCs w:val="20"/>
                <w:lang w:val="es-ES"/>
              </w:rPr>
              <w:t xml:space="preserve">Mezei I. – Varga Cs., </w:t>
            </w:r>
            <w:r>
              <w:rPr>
                <w:rFonts w:eastAsia="Aptos" w:cs="Times New Roman" w:ascii="Cambria" w:hAnsi="Cambria"/>
                <w:i/>
                <w:sz w:val="20"/>
                <w:szCs w:val="20"/>
                <w:lang w:val="es-ES"/>
              </w:rPr>
              <w:t>Analitikus geometria</w:t>
            </w:r>
            <w:r>
              <w:rPr>
                <w:rFonts w:eastAsia="Aptos" w:cs="Times New Roman" w:ascii="Cambria" w:hAnsi="Cambria"/>
                <w:sz w:val="20"/>
                <w:szCs w:val="20"/>
                <w:lang w:val="es-ES"/>
              </w:rPr>
              <w:t>, Kolozsvári Egyetemi Kiadó, Kolozsvár, 2010.</w:t>
            </w:r>
          </w:p>
        </w:tc>
      </w:tr>
    </w:tbl>
    <w:p>
      <w:pPr>
        <w:pStyle w:val="Normal"/>
        <w:spacing w:before="0" w:after="0"/>
        <w:ind w:hanging="425"/>
        <w:rPr>
          <w:rFonts w:ascii="Cambria" w:hAnsi="Cambria"/>
          <w:b/>
          <w:sz w:val="20"/>
          <w:szCs w:val="20"/>
        </w:rPr>
      </w:pPr>
      <w:r>
        <w:rPr>
          <w:rFonts w:ascii="Cambria" w:hAnsi="Cambria"/>
          <w:b/>
          <w:sz w:val="20"/>
          <w:szCs w:val="20"/>
        </w:rPr>
      </w:r>
    </w:p>
    <w:p>
      <w:pPr>
        <w:pStyle w:val="Normal"/>
        <w:spacing w:before="0" w:after="0"/>
        <w:ind w:hanging="425"/>
        <w:rPr>
          <w:rFonts w:ascii="Cambria" w:hAnsi="Cambria"/>
          <w:sz w:val="20"/>
          <w:szCs w:val="20"/>
        </w:rPr>
      </w:pPr>
      <w:r>
        <w:rPr>
          <w:rFonts w:ascii="Cambria" w:hAnsi="Cambria"/>
          <w:sz w:val="20"/>
          <w:szCs w:val="20"/>
        </w:rPr>
      </w:r>
    </w:p>
    <w:p>
      <w:pPr>
        <w:pStyle w:val="Normal"/>
        <w:spacing w:before="0" w:after="0"/>
        <w:ind w:hanging="425"/>
        <w:rPr>
          <w:rFonts w:ascii="Cambria" w:hAnsi="Cambria"/>
          <w:sz w:val="20"/>
          <w:szCs w:val="20"/>
        </w:rPr>
      </w:pPr>
      <w:r>
        <w:rPr>
          <w:rFonts w:ascii="Cambria" w:hAnsi="Cambria"/>
          <w:b/>
          <w:sz w:val="20"/>
          <w:szCs w:val="20"/>
        </w:rPr>
        <w:t>9. Evaluare</w:t>
      </w:r>
    </w:p>
    <w:tbl>
      <w:tblPr>
        <w:tblW w:w="10492" w:type="dxa"/>
        <w:jc w:val="left"/>
        <w:tblInd w:w="-431" w:type="dxa"/>
        <w:tblLayout w:type="fixed"/>
        <w:tblCellMar>
          <w:top w:w="0" w:type="dxa"/>
          <w:left w:w="108" w:type="dxa"/>
          <w:bottom w:w="0" w:type="dxa"/>
          <w:right w:w="108" w:type="dxa"/>
        </w:tblCellMar>
        <w:tblLook w:firstRow="1" w:noVBand="0" w:lastRow="1" w:firstColumn="1" w:lastColumn="1" w:noHBand="0" w:val="01e0"/>
      </w:tblPr>
      <w:tblGrid>
        <w:gridCol w:w="2269"/>
        <w:gridCol w:w="3968"/>
        <w:gridCol w:w="2693"/>
        <w:gridCol w:w="1561"/>
      </w:tblGrid>
      <w:tr>
        <w:trPr>
          <w:trHeight w:val="284" w:hRule="atLeast"/>
        </w:trPr>
        <w:tc>
          <w:tcPr>
            <w:tcW w:w="226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Cambria" w:hAnsi="Cambria"/>
                <w:sz w:val="20"/>
                <w:szCs w:val="20"/>
              </w:rPr>
            </w:pPr>
            <w:r>
              <w:rPr>
                <w:rFonts w:ascii="Cambria" w:hAnsi="Cambria"/>
                <w:sz w:val="20"/>
                <w:szCs w:val="20"/>
              </w:rPr>
              <w:t>Tip activitate</w:t>
            </w:r>
          </w:p>
        </w:tc>
        <w:tc>
          <w:tcPr>
            <w:tcW w:w="396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46" w:right="-154"/>
              <w:rPr>
                <w:rFonts w:ascii="Cambria" w:hAnsi="Cambria"/>
                <w:sz w:val="20"/>
                <w:szCs w:val="20"/>
              </w:rPr>
            </w:pPr>
            <w:r>
              <w:rPr>
                <w:rFonts w:ascii="Cambria" w:hAnsi="Cambria"/>
                <w:sz w:val="20"/>
                <w:szCs w:val="20"/>
              </w:rPr>
              <w:t>9.1 Criterii de evaluare</w:t>
            </w:r>
            <w:r>
              <w:rPr>
                <w:rStyle w:val="FootnoteReference"/>
                <w:rFonts w:ascii="Cambria" w:hAnsi="Cambria"/>
                <w:sz w:val="20"/>
                <w:szCs w:val="20"/>
              </w:rPr>
              <w:footnoteReference w:id="5"/>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Cambria" w:hAnsi="Cambria"/>
                <w:sz w:val="20"/>
                <w:szCs w:val="20"/>
              </w:rPr>
            </w:pPr>
            <w:r>
              <w:rPr>
                <w:rFonts w:ascii="Cambria" w:hAnsi="Cambria"/>
                <w:sz w:val="20"/>
                <w:szCs w:val="20"/>
              </w:rPr>
              <w:t>9.2 Metode de evaluare</w:t>
            </w:r>
            <w:r>
              <w:rPr>
                <w:rStyle w:val="FootnoteReference"/>
                <w:rFonts w:ascii="Cambria" w:hAnsi="Cambria"/>
                <w:sz w:val="20"/>
                <w:szCs w:val="20"/>
              </w:rPr>
              <w:footnoteReference w:id="6"/>
            </w:r>
          </w:p>
        </w:tc>
        <w:tc>
          <w:tcPr>
            <w:tcW w:w="1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Cambria" w:hAnsi="Cambria"/>
                <w:sz w:val="20"/>
                <w:szCs w:val="20"/>
              </w:rPr>
            </w:pPr>
            <w:r>
              <w:rPr>
                <w:rFonts w:ascii="Cambria" w:hAnsi="Cambria"/>
                <w:sz w:val="20"/>
                <w:szCs w:val="20"/>
              </w:rPr>
              <w:t>9.3 Pondere din nota finală</w:t>
            </w:r>
          </w:p>
        </w:tc>
      </w:tr>
      <w:tr>
        <w:trPr>
          <w:trHeight w:val="284" w:hRule="atLeast"/>
        </w:trPr>
        <w:tc>
          <w:tcPr>
            <w:tcW w:w="226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Cambria" w:hAnsi="Cambria"/>
                <w:sz w:val="20"/>
                <w:szCs w:val="20"/>
              </w:rPr>
            </w:pPr>
            <w:r>
              <w:rPr>
                <w:rFonts w:ascii="Cambria" w:hAnsi="Cambria"/>
                <w:sz w:val="20"/>
                <w:szCs w:val="20"/>
              </w:rPr>
              <w:t>9.4 Curs</w:t>
            </w:r>
          </w:p>
        </w:tc>
        <w:tc>
          <w:tcPr>
            <w:tcW w:w="396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Cambria" w:hAnsi="Cambria"/>
                <w:sz w:val="20"/>
                <w:szCs w:val="20"/>
              </w:rPr>
            </w:pPr>
            <w:r>
              <w:rPr>
                <w:rFonts w:cs="Times New Roman" w:ascii="Cambria" w:hAnsi="Cambria"/>
                <w:sz w:val="20"/>
                <w:szCs w:val="20"/>
              </w:rPr>
              <w:t>Aplicarea rezultatelor teoretice de bază la rezolvarea unor probleme concrete</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Cambria" w:hAnsi="Cambria"/>
                <w:sz w:val="20"/>
                <w:szCs w:val="20"/>
              </w:rPr>
            </w:pPr>
            <w:r>
              <w:rPr>
                <w:rFonts w:cs="Times New Roman" w:ascii="Cambria" w:hAnsi="Cambria"/>
                <w:sz w:val="20"/>
                <w:szCs w:val="20"/>
              </w:rPr>
              <w:t>Examen scris la sfârşitul semestrului</w:t>
            </w:r>
          </w:p>
        </w:tc>
        <w:tc>
          <w:tcPr>
            <w:tcW w:w="1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pPr>
            <w:r>
              <w:rPr>
                <w:rFonts w:cs="Times New Roman" w:ascii="Cambria" w:hAnsi="Cambria"/>
                <w:sz w:val="20"/>
                <w:szCs w:val="20"/>
              </w:rPr>
              <w:t>50%</w:t>
            </w:r>
          </w:p>
        </w:tc>
      </w:tr>
      <w:tr>
        <w:trPr>
          <w:trHeight w:val="284" w:hRule="atLeast"/>
        </w:trPr>
        <w:tc>
          <w:tcPr>
            <w:tcW w:w="226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right="-150"/>
              <w:rPr>
                <w:rFonts w:ascii="Cambria" w:hAnsi="Cambria"/>
                <w:sz w:val="20"/>
                <w:szCs w:val="20"/>
              </w:rPr>
            </w:pPr>
            <w:r>
              <w:rPr>
                <w:rFonts w:ascii="Cambria" w:hAnsi="Cambria"/>
                <w:sz w:val="20"/>
                <w:szCs w:val="20"/>
              </w:rPr>
              <w:t>9.5 Seminar/laborator</w:t>
            </w:r>
          </w:p>
        </w:tc>
        <w:tc>
          <w:tcPr>
            <w:tcW w:w="3968" w:type="dxa"/>
            <w:tcBorders>
              <w:top w:val="single" w:sz="4" w:space="0" w:color="000000"/>
              <w:left w:val="single" w:sz="4" w:space="0" w:color="000000"/>
              <w:bottom w:val="single" w:sz="4" w:space="0" w:color="000000"/>
              <w:right w:val="single" w:sz="4" w:space="0" w:color="000000"/>
            </w:tcBorders>
            <w:vAlign w:val="bottom"/>
          </w:tcPr>
          <w:p>
            <w:pPr>
              <w:pStyle w:val="Normal"/>
              <w:widowControl/>
              <w:spacing w:before="0" w:after="160"/>
              <w:rPr>
                <w:rFonts w:ascii="Cambria" w:hAnsi="Cambria" w:eastAsia="Aptos" w:cs="Times New Roman"/>
                <w:sz w:val="20"/>
                <w:szCs w:val="20"/>
                <w:lang w:val="ro-RO"/>
              </w:rPr>
            </w:pPr>
            <w:r>
              <w:rPr>
                <w:rFonts w:eastAsia="Aptos" w:cs="Times New Roman" w:ascii="Cambria" w:hAnsi="Cambria"/>
                <w:sz w:val="20"/>
                <w:szCs w:val="20"/>
                <w:lang w:val="ro-RO"/>
              </w:rPr>
              <w:t>Rezolvarea unor probleme concrete cu ajutorul rezultatelor teoretice de la curs</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Cambria" w:hAnsi="Cambria"/>
                <w:sz w:val="20"/>
                <w:szCs w:val="20"/>
              </w:rPr>
            </w:pPr>
            <w:r>
              <w:rPr>
                <w:rFonts w:cs="Times New Roman" w:ascii="Cambria" w:hAnsi="Cambria"/>
                <w:sz w:val="20"/>
                <w:szCs w:val="20"/>
              </w:rPr>
              <w:t>Examen scris la sfârşitul semestrului</w:t>
            </w:r>
          </w:p>
        </w:tc>
        <w:tc>
          <w:tcPr>
            <w:tcW w:w="15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pPr>
            <w:r>
              <w:rPr>
                <w:rFonts w:cs="Times New Roman" w:ascii="Cambria" w:hAnsi="Cambria"/>
                <w:sz w:val="20"/>
                <w:szCs w:val="20"/>
              </w:rPr>
              <w:t>50%</w:t>
            </w:r>
          </w:p>
        </w:tc>
      </w:tr>
      <w:tr>
        <w:trPr>
          <w:trHeight w:val="284" w:hRule="atLeast"/>
        </w:trPr>
        <w:tc>
          <w:tcPr>
            <w:tcW w:w="10491"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Cambria" w:hAnsi="Cambria"/>
                <w:sz w:val="20"/>
                <w:szCs w:val="20"/>
              </w:rPr>
            </w:pPr>
            <w:r>
              <w:rPr>
                <w:rFonts w:ascii="Cambria" w:hAnsi="Cambria"/>
                <w:sz w:val="20"/>
                <w:szCs w:val="20"/>
              </w:rPr>
              <w:t>9.6 Standard minim de promovare</w:t>
            </w:r>
          </w:p>
        </w:tc>
      </w:tr>
      <w:tr>
        <w:trPr>
          <w:trHeight w:val="284" w:hRule="atLeast"/>
        </w:trPr>
        <w:tc>
          <w:tcPr>
            <w:tcW w:w="10491" w:type="dxa"/>
            <w:gridSpan w:val="4"/>
            <w:tcBorders>
              <w:top w:val="single" w:sz="4" w:space="0" w:color="000000"/>
              <w:left w:val="single" w:sz="4" w:space="0" w:color="000000"/>
              <w:bottom w:val="single" w:sz="4" w:space="0" w:color="000000"/>
              <w:right w:val="single" w:sz="4" w:space="0" w:color="000000"/>
            </w:tcBorders>
          </w:tcPr>
          <w:p>
            <w:pPr>
              <w:pStyle w:val="Normal"/>
              <w:numPr>
                <w:ilvl w:val="0"/>
                <w:numId w:val="3"/>
              </w:numPr>
              <w:spacing w:lineRule="auto" w:line="240" w:before="0" w:after="0"/>
              <w:rPr>
                <w:rFonts w:ascii="Cambria" w:hAnsi="Cambria" w:cs="Times New Roman"/>
                <w:sz w:val="20"/>
                <w:szCs w:val="20"/>
              </w:rPr>
            </w:pPr>
            <w:r>
              <w:rPr>
                <w:rFonts w:eastAsia="Aptos" w:cs="Times New Roman" w:ascii="Cambria" w:hAnsi="Cambria"/>
                <w:sz w:val="20"/>
                <w:szCs w:val="20"/>
                <w:lang w:val="ro-RO"/>
              </w:rPr>
              <w:t>Participarea activă la cursuri şi seminarii</w:t>
            </w:r>
          </w:p>
        </w:tc>
      </w:tr>
    </w:tbl>
    <w:p>
      <w:pPr>
        <w:pStyle w:val="Normal"/>
        <w:spacing w:before="0" w:after="0"/>
        <w:ind w:hanging="425"/>
        <w:rPr>
          <w:rFonts w:ascii="Cambria" w:hAnsi="Cambria"/>
          <w:b/>
          <w:sz w:val="20"/>
          <w:szCs w:val="20"/>
        </w:rPr>
      </w:pPr>
      <w:r>
        <w:rPr>
          <w:rFonts w:ascii="Cambria" w:hAnsi="Cambria"/>
          <w:b/>
          <w:sz w:val="20"/>
          <w:szCs w:val="20"/>
        </w:rPr>
      </w:r>
    </w:p>
    <w:p>
      <w:pPr>
        <w:pStyle w:val="Normal"/>
        <w:spacing w:before="0" w:after="0"/>
        <w:ind w:hanging="425"/>
        <w:rPr>
          <w:rFonts w:ascii="Cambria" w:hAnsi="Cambria"/>
          <w:b/>
          <w:sz w:val="20"/>
          <w:szCs w:val="20"/>
        </w:rPr>
      </w:pPr>
      <w:r>
        <w:rPr>
          <w:rFonts w:ascii="Cambria" w:hAnsi="Cambria"/>
          <w:b/>
          <w:sz w:val="20"/>
          <w:szCs w:val="20"/>
        </w:rPr>
      </w:r>
    </w:p>
    <w:p>
      <w:pPr>
        <w:pStyle w:val="Normal"/>
        <w:spacing w:before="0" w:after="0"/>
        <w:ind w:hanging="425"/>
        <w:rPr>
          <w:rFonts w:ascii="Cambria" w:hAnsi="Cambria"/>
          <w:b/>
          <w:sz w:val="20"/>
          <w:szCs w:val="20"/>
        </w:rPr>
      </w:pPr>
      <w:r>
        <w:rPr>
          <w:rFonts w:ascii="Cambria" w:hAnsi="Cambria"/>
          <w:b/>
          <w:sz w:val="20"/>
          <w:szCs w:val="20"/>
        </w:rPr>
      </w:r>
    </w:p>
    <w:p>
      <w:pPr>
        <w:pStyle w:val="Normal"/>
        <w:spacing w:before="0" w:after="0"/>
        <w:ind w:hanging="425"/>
        <w:rPr>
          <w:rFonts w:ascii="Cambria" w:hAnsi="Cambria"/>
          <w:sz w:val="20"/>
          <w:szCs w:val="20"/>
        </w:rPr>
      </w:pPr>
      <w:r>
        <w:rPr>
          <w:rFonts w:ascii="Cambria" w:hAnsi="Cambria"/>
          <w:b/>
          <w:sz w:val="20"/>
          <w:szCs w:val="20"/>
        </w:rPr>
        <w:t>10. Etichete ODD (Obiective de Dezvoltare Durabilă / Sustainable Development Goals)</w:t>
      </w:r>
      <w:r>
        <w:rPr>
          <w:rStyle w:val="FootnoteReference"/>
          <w:rFonts w:ascii="Cambria" w:hAnsi="Cambria"/>
          <w:bCs/>
          <w:sz w:val="20"/>
          <w:szCs w:val="20"/>
        </w:rPr>
        <w:footnoteReference w:id="7"/>
      </w:r>
      <w:r>
        <w:rPr>
          <w:rFonts w:ascii="Cambria" w:hAnsi="Cambria"/>
          <w:bCs/>
          <w:sz w:val="20"/>
          <w:szCs w:val="20"/>
        </w:rPr>
        <w:t xml:space="preserve"> </w:t>
      </w:r>
    </w:p>
    <w:tbl>
      <w:tblPr>
        <w:tblStyle w:val="Tabelgril"/>
        <w:tblW w:w="10491" w:type="dxa"/>
        <w:jc w:val="left"/>
        <w:tblInd w:w="-431" w:type="dxa"/>
        <w:tblLayout w:type="fixed"/>
        <w:tblCellMar>
          <w:top w:w="0" w:type="dxa"/>
          <w:left w:w="108" w:type="dxa"/>
          <w:bottom w:w="0" w:type="dxa"/>
          <w:right w:w="108" w:type="dxa"/>
        </w:tblCellMar>
        <w:tblLook w:firstRow="1" w:noVBand="1" w:lastRow="0" w:firstColumn="1" w:lastColumn="0" w:noHBand="0" w:val="04a0"/>
      </w:tblPr>
      <w:tblGrid>
        <w:gridCol w:w="1165"/>
        <w:gridCol w:w="536"/>
        <w:gridCol w:w="630"/>
        <w:gridCol w:w="1165"/>
        <w:gridCol w:w="1166"/>
        <w:gridCol w:w="1165"/>
        <w:gridCol w:w="1167"/>
        <w:gridCol w:w="1164"/>
        <w:gridCol w:w="1167"/>
        <w:gridCol w:w="1165"/>
      </w:tblGrid>
      <w:tr>
        <w:trPr>
          <w:trHeight w:val="1037" w:hRule="atLeast"/>
        </w:trPr>
        <w:tc>
          <w:tcPr>
            <w:tcW w:w="1165" w:type="dxa"/>
            <w:tcBorders/>
            <w:vAlign w:val="center"/>
          </w:tcPr>
          <w:p>
            <w:pPr>
              <w:pStyle w:val="Normal"/>
              <w:widowControl/>
              <w:suppressAutoHyphens w:val="true"/>
              <w:spacing w:lineRule="auto" w:line="240" w:before="0" w:after="0"/>
              <w:jc w:val="left"/>
              <w:rPr>
                <w:rFonts w:ascii="Cambria" w:hAnsi="Cambria"/>
              </w:rPr>
            </w:pPr>
            <w:r>
              <w:rPr>
                <w:rFonts w:ascii="Cambria" w:hAnsi="Cambria"/>
                <w:sz w:val="20"/>
              </w:rPr>
              <w:drawing>
                <wp:anchor behindDoc="0" distT="0" distB="0" distL="0" distR="0" simplePos="0" locked="0" layoutInCell="1" allowOverlap="1" relativeHeight="19">
                  <wp:simplePos x="0" y="0"/>
                  <wp:positionH relativeFrom="column">
                    <wp:posOffset>13970</wp:posOffset>
                  </wp:positionH>
                  <wp:positionV relativeFrom="paragraph">
                    <wp:posOffset>34925</wp:posOffset>
                  </wp:positionV>
                  <wp:extent cx="615950" cy="611505"/>
                  <wp:effectExtent l="0" t="0" r="0" b="0"/>
                  <wp:wrapNone/>
                  <wp:docPr id="1" name="Imagin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ine 2" descr=""/>
                          <pic:cNvPicPr>
                            <a:picLocks noChangeAspect="1" noChangeArrowheads="1"/>
                          </pic:cNvPicPr>
                        </pic:nvPicPr>
                        <pic:blipFill>
                          <a:blip r:embed="rId2"/>
                          <a:stretch>
                            <a:fillRect/>
                          </a:stretch>
                        </pic:blipFill>
                        <pic:spPr bwMode="auto">
                          <a:xfrm>
                            <a:off x="0" y="0"/>
                            <a:ext cx="615950" cy="611505"/>
                          </a:xfrm>
                          <a:prstGeom prst="rect">
                            <a:avLst/>
                          </a:prstGeom>
                        </pic:spPr>
                      </pic:pic>
                    </a:graphicData>
                  </a:graphic>
                </wp:anchor>
              </w:drawing>
            </w:r>
          </w:p>
        </w:tc>
        <w:tc>
          <w:tcPr>
            <w:tcW w:w="536" w:type="dxa"/>
            <w:tcBorders/>
            <w:vAlign w:val="center"/>
          </w:tcPr>
          <w:p>
            <w:pPr>
              <w:pStyle w:val="Normal"/>
              <w:widowControl/>
              <w:suppressAutoHyphens w:val="true"/>
              <w:spacing w:lineRule="auto" w:line="240" w:before="0" w:after="0"/>
              <w:jc w:val="left"/>
              <w:rPr>
                <w:rFonts w:ascii="Cambria" w:hAnsi="Cambria"/>
              </w:rPr>
            </w:pPr>
            <w:r>
              <w:rPr>
                <w:sz w:val="20"/>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ontrol_shape_0" o:allowincell="t" style="width:13pt;height:18.25pt" type="#_x0000_t75"/>
                <w:control r:id="rId3" w:name="OptionButton117" w:shapeid="control_shape_0"/>
              </w:object>
            </w:r>
          </w:p>
        </w:tc>
        <w:tc>
          <w:tcPr>
            <w:tcW w:w="8789" w:type="dxa"/>
            <w:gridSpan w:val="8"/>
            <w:tcBorders/>
            <w:vAlign w:val="center"/>
          </w:tcPr>
          <w:p>
            <w:pPr>
              <w:pStyle w:val="Normal"/>
              <w:widowControl/>
              <w:suppressAutoHyphens w:val="true"/>
              <w:spacing w:lineRule="auto" w:line="240" w:before="0" w:after="0"/>
              <w:jc w:val="left"/>
              <w:rPr>
                <w:rFonts w:ascii="Cambria" w:hAnsi="Cambria"/>
              </w:rPr>
            </w:pPr>
            <w:r>
              <w:rPr>
                <w:rFonts w:eastAsia="Calibri" w:cs="Times New Roman" w:ascii="Cambria" w:hAnsi="Cambria"/>
                <w:kern w:val="0"/>
                <w:sz w:val="20"/>
                <w:szCs w:val="20"/>
                <w:lang w:eastAsia="ro-RO" w:bidi="ar-SA"/>
              </w:rPr>
              <w:t>Eticheta generală pentru Dezvoltare durabilă</w:t>
            </w:r>
          </w:p>
        </w:tc>
      </w:tr>
      <w:tr>
        <w:trPr>
          <w:trHeight w:val="1124" w:hRule="atLeast"/>
        </w:trPr>
        <w:tc>
          <w:tcPr>
            <w:tcW w:w="1165" w:type="dxa"/>
            <w:tcBorders/>
            <w:vAlign w:val="center"/>
          </w:tcPr>
          <w:p>
            <w:pPr>
              <w:pStyle w:val="Normal"/>
              <w:widowControl/>
              <w:suppressAutoHyphens w:val="true"/>
              <w:spacing w:lineRule="auto" w:line="240" w:before="0" w:after="0"/>
              <w:ind w:right="-537"/>
              <w:jc w:val="left"/>
              <w:rPr>
                <w:rFonts w:ascii="Cambria" w:hAnsi="Cambria"/>
              </w:rPr>
            </w:pPr>
            <w:r>
              <w:rPr>
                <w:sz w:val="20"/>
              </w:rPr>
              <w:drawing>
                <wp:inline distT="0" distB="0" distL="0" distR="0">
                  <wp:extent cx="604520" cy="612140"/>
                  <wp:effectExtent l="0" t="0" r="0" b="0"/>
                  <wp:docPr id="2" name="Imagine 3" descr="O imagine care conține text, Font, roșu,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3" descr="O imagine care conține text, Font, roșu, Grafică&#10;&#10;Descriere generată automat"/>
                          <pic:cNvPicPr>
                            <a:picLocks noChangeAspect="1" noChangeArrowheads="1"/>
                          </pic:cNvPicPr>
                        </pic:nvPicPr>
                        <pic:blipFill>
                          <a:blip r:embed="rId4"/>
                          <a:stretch>
                            <a:fillRect/>
                          </a:stretch>
                        </pic:blipFill>
                        <pic:spPr bwMode="auto">
                          <a:xfrm>
                            <a:off x="0" y="0"/>
                            <a:ext cx="604520" cy="612140"/>
                          </a:xfrm>
                          <a:prstGeom prst="rect">
                            <a:avLst/>
                          </a:prstGeom>
                        </pic:spPr>
                      </pic:pic>
                    </a:graphicData>
                  </a:graphic>
                </wp:inline>
              </w:drawing>
            </w:r>
          </w:p>
        </w:tc>
        <w:tc>
          <w:tcPr>
            <w:tcW w:w="1166" w:type="dxa"/>
            <w:gridSpan w:val="2"/>
            <w:tcBorders/>
            <w:vAlign w:val="center"/>
          </w:tcPr>
          <w:p>
            <w:pPr>
              <w:pStyle w:val="Normal"/>
              <w:widowControl/>
              <w:suppressAutoHyphens w:val="true"/>
              <w:spacing w:lineRule="auto" w:line="240" w:before="0" w:after="0"/>
              <w:jc w:val="left"/>
              <w:rPr>
                <w:rFonts w:ascii="Cambria" w:hAnsi="Cambria"/>
              </w:rPr>
            </w:pPr>
            <w:r>
              <w:rPr>
                <w:sz w:val="20"/>
              </w:rPr>
              <w:drawing>
                <wp:inline distT="0" distB="0" distL="0" distR="0">
                  <wp:extent cx="603885" cy="611505"/>
                  <wp:effectExtent l="0" t="0" r="0" b="0"/>
                  <wp:docPr id="3" name="Imagine 5" descr="O imagine care conține Font, siglă, proiectare,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5" descr="O imagine care conține Font, siglă, proiectare, captură de ecran&#10;&#10;Descriere generată automat"/>
                          <pic:cNvPicPr>
                            <a:picLocks noChangeAspect="1" noChangeArrowheads="1"/>
                          </pic:cNvPicPr>
                        </pic:nvPicPr>
                        <pic:blipFill>
                          <a:blip r:embed="rId5"/>
                          <a:stretch>
                            <a:fillRect/>
                          </a:stretch>
                        </pic:blipFill>
                        <pic:spPr bwMode="auto">
                          <a:xfrm>
                            <a:off x="0" y="0"/>
                            <a:ext cx="603885" cy="611505"/>
                          </a:xfrm>
                          <a:prstGeom prst="rect">
                            <a:avLst/>
                          </a:prstGeom>
                        </pic:spPr>
                      </pic:pic>
                    </a:graphicData>
                  </a:graphic>
                </wp:inline>
              </w:drawing>
            </w:r>
          </w:p>
        </w:tc>
        <w:tc>
          <w:tcPr>
            <w:tcW w:w="1165" w:type="dxa"/>
            <w:tcBorders/>
            <w:vAlign w:val="center"/>
          </w:tcPr>
          <w:p>
            <w:pPr>
              <w:pStyle w:val="Normal"/>
              <w:widowControl/>
              <w:suppressAutoHyphens w:val="true"/>
              <w:spacing w:lineRule="auto" w:line="240" w:before="0" w:after="0"/>
              <w:jc w:val="left"/>
              <w:rPr>
                <w:rFonts w:ascii="Cambria" w:hAnsi="Cambria"/>
              </w:rPr>
            </w:pPr>
            <w:r>
              <w:rPr>
                <w:sz w:val="20"/>
              </w:rPr>
              <w:drawing>
                <wp:inline distT="0" distB="0" distL="0" distR="0">
                  <wp:extent cx="595630" cy="611505"/>
                  <wp:effectExtent l="0" t="0" r="0" b="0"/>
                  <wp:docPr id="4" name="Imagine 13" descr="O imagine care conține text, Font, verde,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13" descr="O imagine care conține text, Font, verde, captură de ecran&#10;&#10;Descriere generată automat"/>
                          <pic:cNvPicPr>
                            <a:picLocks noChangeAspect="1" noChangeArrowheads="1"/>
                          </pic:cNvPicPr>
                        </pic:nvPicPr>
                        <pic:blipFill>
                          <a:blip r:embed="rId6"/>
                          <a:stretch>
                            <a:fillRect/>
                          </a:stretch>
                        </pic:blipFill>
                        <pic:spPr bwMode="auto">
                          <a:xfrm>
                            <a:off x="0" y="0"/>
                            <a:ext cx="595630" cy="611505"/>
                          </a:xfrm>
                          <a:prstGeom prst="rect">
                            <a:avLst/>
                          </a:prstGeom>
                        </pic:spPr>
                      </pic:pic>
                    </a:graphicData>
                  </a:graphic>
                </wp:inline>
              </w:drawing>
            </w:r>
          </w:p>
        </w:tc>
        <w:tc>
          <w:tcPr>
            <w:tcW w:w="1166" w:type="dxa"/>
            <w:tcBorders/>
            <w:vAlign w:val="center"/>
          </w:tcPr>
          <w:p>
            <w:pPr>
              <w:pStyle w:val="Normal"/>
              <w:widowControl/>
              <w:suppressAutoHyphens w:val="true"/>
              <w:spacing w:lineRule="auto" w:line="240" w:before="0" w:after="0"/>
              <w:jc w:val="left"/>
              <w:rPr>
                <w:rFonts w:ascii="Cambria" w:hAnsi="Cambria"/>
              </w:rPr>
            </w:pPr>
            <w:r>
              <w:rPr>
                <w:sz w:val="20"/>
              </w:rPr>
              <w:drawing>
                <wp:inline distT="0" distB="0" distL="0" distR="0">
                  <wp:extent cx="600710" cy="611505"/>
                  <wp:effectExtent l="0" t="0" r="0" b="0"/>
                  <wp:docPr id="5" name="Imagine 14" descr="O imagine care conține text, siglă, roșu,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ine 14" descr="O imagine care conține text, siglă, roșu, Font&#10;&#10;Descriere generată automat"/>
                          <pic:cNvPicPr>
                            <a:picLocks noChangeAspect="1" noChangeArrowheads="1"/>
                          </pic:cNvPicPr>
                        </pic:nvPicPr>
                        <pic:blipFill>
                          <a:blip r:embed="rId7"/>
                          <a:stretch>
                            <a:fillRect/>
                          </a:stretch>
                        </pic:blipFill>
                        <pic:spPr bwMode="auto">
                          <a:xfrm>
                            <a:off x="0" y="0"/>
                            <a:ext cx="600710" cy="611505"/>
                          </a:xfrm>
                          <a:prstGeom prst="rect">
                            <a:avLst/>
                          </a:prstGeom>
                        </pic:spPr>
                      </pic:pic>
                    </a:graphicData>
                  </a:graphic>
                </wp:inline>
              </w:drawing>
            </w:r>
          </w:p>
        </w:tc>
        <w:tc>
          <w:tcPr>
            <w:tcW w:w="1165" w:type="dxa"/>
            <w:tcBorders/>
            <w:vAlign w:val="center"/>
          </w:tcPr>
          <w:p>
            <w:pPr>
              <w:pStyle w:val="Normal"/>
              <w:widowControl/>
              <w:suppressAutoHyphens w:val="true"/>
              <w:spacing w:lineRule="auto" w:line="240" w:before="0" w:after="0"/>
              <w:jc w:val="left"/>
              <w:rPr>
                <w:rFonts w:ascii="Cambria" w:hAnsi="Cambria"/>
              </w:rPr>
            </w:pPr>
            <w:r>
              <w:rPr>
                <w:sz w:val="20"/>
              </w:rPr>
              <w:drawing>
                <wp:inline distT="0" distB="0" distL="0" distR="0">
                  <wp:extent cx="593725" cy="611505"/>
                  <wp:effectExtent l="0" t="0" r="0" b="0"/>
                  <wp:docPr id="6" name="Imagine 15" descr="O imagine care conține text, captură de ecran, Font,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15" descr="O imagine care conține text, captură de ecran, Font, siglă&#10;&#10;Descriere generată automat"/>
                          <pic:cNvPicPr>
                            <a:picLocks noChangeAspect="1" noChangeArrowheads="1"/>
                          </pic:cNvPicPr>
                        </pic:nvPicPr>
                        <pic:blipFill>
                          <a:blip r:embed="rId8"/>
                          <a:stretch>
                            <a:fillRect/>
                          </a:stretch>
                        </pic:blipFill>
                        <pic:spPr bwMode="auto">
                          <a:xfrm>
                            <a:off x="0" y="0"/>
                            <a:ext cx="593725" cy="611505"/>
                          </a:xfrm>
                          <a:prstGeom prst="rect">
                            <a:avLst/>
                          </a:prstGeom>
                        </pic:spPr>
                      </pic:pic>
                    </a:graphicData>
                  </a:graphic>
                </wp:inline>
              </w:drawing>
            </w:r>
          </w:p>
        </w:tc>
        <w:tc>
          <w:tcPr>
            <w:tcW w:w="1167" w:type="dxa"/>
            <w:tcBorders/>
            <w:vAlign w:val="center"/>
          </w:tcPr>
          <w:p>
            <w:pPr>
              <w:pStyle w:val="Normal"/>
              <w:widowControl/>
              <w:suppressAutoHyphens w:val="true"/>
              <w:spacing w:lineRule="auto" w:line="240" w:before="0" w:after="0"/>
              <w:jc w:val="left"/>
              <w:rPr>
                <w:rFonts w:ascii="Cambria" w:hAnsi="Cambria"/>
              </w:rPr>
            </w:pPr>
            <w:r>
              <w:rPr>
                <w:sz w:val="20"/>
              </w:rPr>
              <w:drawing>
                <wp:inline distT="0" distB="0" distL="0" distR="0">
                  <wp:extent cx="594995" cy="611505"/>
                  <wp:effectExtent l="0" t="0" r="0" b="0"/>
                  <wp:docPr id="7" name="Imagine 16" descr="O imagine care conține captură de ecran, siglă, Font,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16" descr="O imagine care conține captură de ecran, siglă, Font, Grafică&#10;&#10;Descriere generată automat"/>
                          <pic:cNvPicPr>
                            <a:picLocks noChangeAspect="1" noChangeArrowheads="1"/>
                          </pic:cNvPicPr>
                        </pic:nvPicPr>
                        <pic:blipFill>
                          <a:blip r:embed="rId9"/>
                          <a:stretch>
                            <a:fillRect/>
                          </a:stretch>
                        </pic:blipFill>
                        <pic:spPr bwMode="auto">
                          <a:xfrm>
                            <a:off x="0" y="0"/>
                            <a:ext cx="594995" cy="611505"/>
                          </a:xfrm>
                          <a:prstGeom prst="rect">
                            <a:avLst/>
                          </a:prstGeom>
                        </pic:spPr>
                      </pic:pic>
                    </a:graphicData>
                  </a:graphic>
                </wp:inline>
              </w:drawing>
            </w:r>
          </w:p>
        </w:tc>
        <w:tc>
          <w:tcPr>
            <w:tcW w:w="1164" w:type="dxa"/>
            <w:tcBorders/>
            <w:vAlign w:val="center"/>
          </w:tcPr>
          <w:p>
            <w:pPr>
              <w:pStyle w:val="Normal"/>
              <w:widowControl/>
              <w:suppressAutoHyphens w:val="true"/>
              <w:spacing w:lineRule="auto" w:line="240" w:before="0" w:after="0"/>
              <w:jc w:val="left"/>
              <w:rPr>
                <w:rFonts w:ascii="Cambria" w:hAnsi="Cambria"/>
              </w:rPr>
            </w:pPr>
            <w:r>
              <w:rPr>
                <w:sz w:val="20"/>
              </w:rPr>
              <w:drawing>
                <wp:inline distT="0" distB="0" distL="0" distR="0">
                  <wp:extent cx="596900" cy="611505"/>
                  <wp:effectExtent l="0" t="0" r="0" b="0"/>
                  <wp:docPr id="8" name="Imagine 17" descr="O imagine care conține text, Font, captură de ecran, galbe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17" descr="O imagine care conține text, Font, captură de ecran, galben&#10;&#10;Descriere generată automat"/>
                          <pic:cNvPicPr>
                            <a:picLocks noChangeAspect="1" noChangeArrowheads="1"/>
                          </pic:cNvPicPr>
                        </pic:nvPicPr>
                        <pic:blipFill>
                          <a:blip r:embed="rId10"/>
                          <a:stretch>
                            <a:fillRect/>
                          </a:stretch>
                        </pic:blipFill>
                        <pic:spPr bwMode="auto">
                          <a:xfrm>
                            <a:off x="0" y="0"/>
                            <a:ext cx="596900" cy="611505"/>
                          </a:xfrm>
                          <a:prstGeom prst="rect">
                            <a:avLst/>
                          </a:prstGeom>
                        </pic:spPr>
                      </pic:pic>
                    </a:graphicData>
                  </a:graphic>
                </wp:inline>
              </w:drawing>
            </w:r>
          </w:p>
        </w:tc>
        <w:tc>
          <w:tcPr>
            <w:tcW w:w="1167" w:type="dxa"/>
            <w:tcBorders/>
            <w:vAlign w:val="center"/>
          </w:tcPr>
          <w:p>
            <w:pPr>
              <w:pStyle w:val="Normal"/>
              <w:widowControl/>
              <w:suppressAutoHyphens w:val="true"/>
              <w:spacing w:lineRule="auto" w:line="240" w:before="0" w:after="0"/>
              <w:jc w:val="left"/>
              <w:rPr>
                <w:rFonts w:ascii="Cambria" w:hAnsi="Cambria"/>
              </w:rPr>
            </w:pPr>
            <w:r>
              <w:rPr>
                <w:sz w:val="20"/>
              </w:rPr>
              <w:drawing>
                <wp:inline distT="0" distB="0" distL="0" distR="0">
                  <wp:extent cx="587375" cy="611505"/>
                  <wp:effectExtent l="0" t="0" r="0" b="0"/>
                  <wp:docPr id="9" name="Imagine 18" descr="O imagine care conține text, Font, captură de ecran,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18" descr="O imagine care conține text, Font, captură de ecran, siglă&#10;&#10;Descriere generată automat"/>
                          <pic:cNvPicPr>
                            <a:picLocks noChangeAspect="1" noChangeArrowheads="1"/>
                          </pic:cNvPicPr>
                        </pic:nvPicPr>
                        <pic:blipFill>
                          <a:blip r:embed="rId11"/>
                          <a:stretch>
                            <a:fillRect/>
                          </a:stretch>
                        </pic:blipFill>
                        <pic:spPr bwMode="auto">
                          <a:xfrm>
                            <a:off x="0" y="0"/>
                            <a:ext cx="587375" cy="611505"/>
                          </a:xfrm>
                          <a:prstGeom prst="rect">
                            <a:avLst/>
                          </a:prstGeom>
                        </pic:spPr>
                      </pic:pic>
                    </a:graphicData>
                  </a:graphic>
                </wp:inline>
              </w:drawing>
            </w:r>
          </w:p>
        </w:tc>
        <w:tc>
          <w:tcPr>
            <w:tcW w:w="1165" w:type="dxa"/>
            <w:tcBorders/>
            <w:vAlign w:val="center"/>
          </w:tcPr>
          <w:p>
            <w:pPr>
              <w:pStyle w:val="Normal"/>
              <w:widowControl/>
              <w:suppressAutoHyphens w:val="true"/>
              <w:spacing w:lineRule="auto" w:line="240" w:before="0" w:after="0"/>
              <w:jc w:val="left"/>
              <w:rPr>
                <w:rFonts w:ascii="Cambria" w:hAnsi="Cambria"/>
              </w:rPr>
            </w:pPr>
            <w:r>
              <w:rPr>
                <w:sz w:val="20"/>
              </w:rPr>
              <w:drawing>
                <wp:inline distT="0" distB="0" distL="0" distR="0">
                  <wp:extent cx="625475" cy="611505"/>
                  <wp:effectExtent l="0" t="0" r="0" b="0"/>
                  <wp:docPr id="10" name="Imagine 10" descr="O imagine care conține proiectare, captură de ecran, tex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10" descr="O imagine care conține proiectare, captură de ecran, text&#10;&#10;Descriere generată automat"/>
                          <pic:cNvPicPr>
                            <a:picLocks noChangeAspect="1" noChangeArrowheads="1"/>
                          </pic:cNvPicPr>
                        </pic:nvPicPr>
                        <pic:blipFill>
                          <a:blip r:embed="rId12"/>
                          <a:stretch>
                            <a:fillRect/>
                          </a:stretch>
                        </pic:blipFill>
                        <pic:spPr bwMode="auto">
                          <a:xfrm>
                            <a:off x="0" y="0"/>
                            <a:ext cx="625475" cy="611505"/>
                          </a:xfrm>
                          <a:prstGeom prst="rect">
                            <a:avLst/>
                          </a:prstGeom>
                        </pic:spPr>
                      </pic:pic>
                    </a:graphicData>
                  </a:graphic>
                </wp:inline>
              </w:drawing>
            </w:r>
          </w:p>
        </w:tc>
      </w:tr>
      <w:tr>
        <w:trPr>
          <w:trHeight w:val="397" w:hRule="atLeast"/>
        </w:trPr>
        <w:tc>
          <w:tcPr>
            <w:tcW w:w="1165" w:type="dxa"/>
            <w:tcBorders/>
            <w:vAlign w:val="center"/>
          </w:tcPr>
          <w:p>
            <w:pPr>
              <w:pStyle w:val="Normal"/>
              <w:widowControl/>
              <w:suppressAutoHyphens w:val="true"/>
              <w:spacing w:lineRule="auto" w:line="240" w:before="0" w:after="0"/>
              <w:jc w:val="center"/>
              <w:rPr>
                <w:rFonts w:ascii="Cambria" w:hAnsi="Cambria"/>
              </w:rPr>
            </w:pPr>
            <w:r>
              <w:rPr>
                <w:sz w:val="20"/>
              </w:rPr>
              <w:object>
                <v:shape id="control_shape_1" o:allowincell="t" style="width:13pt;height:18.25pt" type="#_x0000_t75"/>
                <w:control r:id="rId13" w:name="OptionButton1" w:shapeid="control_shape_1"/>
              </w:object>
            </w:r>
          </w:p>
        </w:tc>
        <w:tc>
          <w:tcPr>
            <w:tcW w:w="1166" w:type="dxa"/>
            <w:gridSpan w:val="2"/>
            <w:tcBorders/>
            <w:vAlign w:val="center"/>
          </w:tcPr>
          <w:p>
            <w:pPr>
              <w:pStyle w:val="Normal"/>
              <w:widowControl/>
              <w:suppressAutoHyphens w:val="true"/>
              <w:spacing w:lineRule="auto" w:line="240" w:before="0" w:after="0"/>
              <w:jc w:val="center"/>
              <w:rPr>
                <w:rFonts w:ascii="Cambria" w:hAnsi="Cambria"/>
              </w:rPr>
            </w:pPr>
            <w:r>
              <w:rPr>
                <w:sz w:val="20"/>
              </w:rPr>
              <w:object>
                <v:shape id="control_shape_2" o:allowincell="t" style="width:13pt;height:18.25pt" type="#_x0000_t75"/>
                <w:control r:id="rId14" w:name="OptionButton11" w:shapeid="control_shape_2"/>
              </w:object>
            </w:r>
          </w:p>
        </w:tc>
        <w:tc>
          <w:tcPr>
            <w:tcW w:w="1165" w:type="dxa"/>
            <w:tcBorders/>
            <w:vAlign w:val="center"/>
          </w:tcPr>
          <w:p>
            <w:pPr>
              <w:pStyle w:val="Normal"/>
              <w:widowControl/>
              <w:suppressAutoHyphens w:val="true"/>
              <w:spacing w:lineRule="auto" w:line="240" w:before="0" w:after="0"/>
              <w:jc w:val="center"/>
              <w:rPr>
                <w:rFonts w:ascii="Cambria" w:hAnsi="Cambria"/>
              </w:rPr>
            </w:pPr>
            <w:r>
              <w:rPr>
                <w:sz w:val="20"/>
              </w:rPr>
              <w:object>
                <v:shape id="control_shape_3" o:allowincell="t" style="width:13pt;height:18.25pt" type="#_x0000_t75"/>
                <w:control r:id="rId15" w:name="OptionButton12" w:shapeid="control_shape_3"/>
              </w:object>
            </w:r>
          </w:p>
        </w:tc>
        <w:tc>
          <w:tcPr>
            <w:tcW w:w="1166" w:type="dxa"/>
            <w:tcBorders/>
            <w:vAlign w:val="center"/>
          </w:tcPr>
          <w:p>
            <w:pPr>
              <w:pStyle w:val="Normal"/>
              <w:widowControl/>
              <w:suppressAutoHyphens w:val="true"/>
              <w:spacing w:lineRule="auto" w:line="240" w:before="0" w:after="0"/>
              <w:jc w:val="center"/>
              <w:rPr>
                <w:rFonts w:ascii="Cambria" w:hAnsi="Cambria"/>
              </w:rPr>
            </w:pPr>
            <w:r>
              <w:rPr>
                <w:sz w:val="20"/>
              </w:rPr>
              <w:object>
                <v:shape id="control_shape_4" o:allowincell="t" style="width:13pt;height:18.25pt" type="#_x0000_t75"/>
                <w:control r:id="rId16" w:name="OptionButton13" w:shapeid="control_shape_4"/>
              </w:object>
            </w:r>
          </w:p>
        </w:tc>
        <w:tc>
          <w:tcPr>
            <w:tcW w:w="1165" w:type="dxa"/>
            <w:tcBorders/>
            <w:vAlign w:val="center"/>
          </w:tcPr>
          <w:p>
            <w:pPr>
              <w:pStyle w:val="Normal"/>
              <w:widowControl/>
              <w:suppressAutoHyphens w:val="true"/>
              <w:spacing w:lineRule="auto" w:line="240" w:before="0" w:after="0"/>
              <w:jc w:val="center"/>
              <w:rPr>
                <w:rFonts w:ascii="Cambria" w:hAnsi="Cambria"/>
              </w:rPr>
            </w:pPr>
            <w:r>
              <w:rPr>
                <w:sz w:val="20"/>
              </w:rPr>
              <w:object>
                <v:shape id="control_shape_5" o:allowincell="t" style="width:13pt;height:18.25pt" type="#_x0000_t75"/>
                <w:control r:id="rId17" w:name="OptionButton14" w:shapeid="control_shape_5"/>
              </w:object>
            </w:r>
          </w:p>
        </w:tc>
        <w:tc>
          <w:tcPr>
            <w:tcW w:w="1167" w:type="dxa"/>
            <w:tcBorders/>
            <w:vAlign w:val="center"/>
          </w:tcPr>
          <w:p>
            <w:pPr>
              <w:pStyle w:val="Normal"/>
              <w:widowControl/>
              <w:suppressAutoHyphens w:val="true"/>
              <w:spacing w:lineRule="auto" w:line="240" w:before="0" w:after="0"/>
              <w:jc w:val="center"/>
              <w:rPr>
                <w:rFonts w:ascii="Cambria" w:hAnsi="Cambria"/>
              </w:rPr>
            </w:pPr>
            <w:r>
              <w:rPr>
                <w:sz w:val="20"/>
              </w:rPr>
              <w:object>
                <v:shape id="control_shape_6" o:allowincell="t" style="width:13pt;height:18.25pt" type="#_x0000_t75"/>
                <w:control r:id="rId18" w:name="OptionButton15" w:shapeid="control_shape_6"/>
              </w:object>
            </w:r>
          </w:p>
        </w:tc>
        <w:tc>
          <w:tcPr>
            <w:tcW w:w="1164" w:type="dxa"/>
            <w:tcBorders/>
            <w:vAlign w:val="center"/>
          </w:tcPr>
          <w:p>
            <w:pPr>
              <w:pStyle w:val="Normal"/>
              <w:widowControl/>
              <w:suppressAutoHyphens w:val="true"/>
              <w:spacing w:lineRule="auto" w:line="240" w:before="0" w:after="0"/>
              <w:jc w:val="center"/>
              <w:rPr>
                <w:rFonts w:ascii="Cambria" w:hAnsi="Cambria"/>
              </w:rPr>
            </w:pPr>
            <w:r>
              <w:rPr>
                <w:sz w:val="20"/>
              </w:rPr>
              <w:object>
                <v:shape id="control_shape_7" o:allowincell="t" style="width:13pt;height:18.25pt" type="#_x0000_t75"/>
                <w:control r:id="rId19" w:name="OptionButton16" w:shapeid="control_shape_7"/>
              </w:object>
            </w:r>
          </w:p>
        </w:tc>
        <w:tc>
          <w:tcPr>
            <w:tcW w:w="1167" w:type="dxa"/>
            <w:tcBorders/>
            <w:vAlign w:val="center"/>
          </w:tcPr>
          <w:p>
            <w:pPr>
              <w:pStyle w:val="Normal"/>
              <w:widowControl/>
              <w:suppressAutoHyphens w:val="true"/>
              <w:spacing w:lineRule="auto" w:line="240" w:before="0" w:after="0"/>
              <w:jc w:val="center"/>
              <w:rPr>
                <w:rFonts w:ascii="Cambria" w:hAnsi="Cambria"/>
              </w:rPr>
            </w:pPr>
            <w:r>
              <w:rPr>
                <w:sz w:val="20"/>
              </w:rPr>
              <w:object>
                <v:shape id="control_shape_8" o:allowincell="t" style="width:13pt;height:18.25pt" type="#_x0000_t75"/>
                <w:control r:id="rId20" w:name="OptionButton17" w:shapeid="control_shape_8"/>
              </w:object>
            </w:r>
          </w:p>
        </w:tc>
        <w:tc>
          <w:tcPr>
            <w:tcW w:w="1165" w:type="dxa"/>
            <w:tcBorders/>
            <w:vAlign w:val="center"/>
          </w:tcPr>
          <w:p>
            <w:pPr>
              <w:pStyle w:val="Normal"/>
              <w:widowControl/>
              <w:suppressAutoHyphens w:val="true"/>
              <w:spacing w:lineRule="auto" w:line="240" w:before="0" w:after="0"/>
              <w:jc w:val="center"/>
              <w:rPr>
                <w:rFonts w:ascii="Cambria" w:hAnsi="Cambria"/>
              </w:rPr>
            </w:pPr>
            <w:r>
              <w:rPr>
                <w:sz w:val="20"/>
              </w:rPr>
              <w:object>
                <v:shape id="control_shape_9" o:allowincell="t" style="width:13pt;height:18.25pt" type="#_x0000_t75"/>
                <w:control r:id="rId21" w:name="OptionButton18" w:shapeid="control_shape_9"/>
              </w:object>
            </w:r>
          </w:p>
        </w:tc>
      </w:tr>
      <w:tr>
        <w:trPr>
          <w:trHeight w:val="1124" w:hRule="atLeast"/>
        </w:trPr>
        <w:tc>
          <w:tcPr>
            <w:tcW w:w="1165" w:type="dxa"/>
            <w:tcBorders/>
            <w:vAlign w:val="center"/>
          </w:tcPr>
          <w:p>
            <w:pPr>
              <w:pStyle w:val="Normal"/>
              <w:widowControl/>
              <w:suppressAutoHyphens w:val="true"/>
              <w:spacing w:lineRule="auto" w:line="240" w:before="0" w:after="0"/>
              <w:jc w:val="left"/>
              <w:rPr>
                <w:rFonts w:ascii="Cambria" w:hAnsi="Cambria"/>
              </w:rPr>
            </w:pPr>
            <w:r>
              <w:rPr>
                <w:sz w:val="20"/>
              </w:rPr>
              <w:drawing>
                <wp:inline distT="0" distB="0" distL="0" distR="0">
                  <wp:extent cx="599440" cy="611505"/>
                  <wp:effectExtent l="0" t="0" r="0" b="0"/>
                  <wp:docPr id="11" name="Imagine 11" descr="O imagine care conține text, captură de ecran, Font,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1" descr="O imagine care conține text, captură de ecran, Font, Grafică&#10;&#10;Descriere generată automat"/>
                          <pic:cNvPicPr>
                            <a:picLocks noChangeAspect="1" noChangeArrowheads="1"/>
                          </pic:cNvPicPr>
                        </pic:nvPicPr>
                        <pic:blipFill>
                          <a:blip r:embed="rId22"/>
                          <a:stretch>
                            <a:fillRect/>
                          </a:stretch>
                        </pic:blipFill>
                        <pic:spPr bwMode="auto">
                          <a:xfrm>
                            <a:off x="0" y="0"/>
                            <a:ext cx="599440" cy="611505"/>
                          </a:xfrm>
                          <a:prstGeom prst="rect">
                            <a:avLst/>
                          </a:prstGeom>
                        </pic:spPr>
                      </pic:pic>
                    </a:graphicData>
                  </a:graphic>
                </wp:inline>
              </w:drawing>
            </w:r>
          </w:p>
        </w:tc>
        <w:tc>
          <w:tcPr>
            <w:tcW w:w="1166" w:type="dxa"/>
            <w:gridSpan w:val="2"/>
            <w:tcBorders/>
            <w:vAlign w:val="center"/>
          </w:tcPr>
          <w:p>
            <w:pPr>
              <w:pStyle w:val="Normal"/>
              <w:widowControl/>
              <w:suppressAutoHyphens w:val="true"/>
              <w:spacing w:lineRule="auto" w:line="240" w:before="0" w:after="0"/>
              <w:jc w:val="center"/>
              <w:rPr>
                <w:rFonts w:ascii="Cambria" w:hAnsi="Cambria"/>
              </w:rPr>
            </w:pPr>
            <w:r>
              <w:rPr>
                <w:sz w:val="20"/>
              </w:rPr>
              <w:drawing>
                <wp:inline distT="0" distB="0" distL="0" distR="0">
                  <wp:extent cx="599440" cy="611505"/>
                  <wp:effectExtent l="0" t="0" r="0" b="0"/>
                  <wp:docPr id="12" name="Imagine 12" descr="O imagine care conține text, Font, captură de ecran, proiectar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2" descr="O imagine care conține text, Font, captură de ecran, proiectare&#10;&#10;Descriere generată automat"/>
                          <pic:cNvPicPr>
                            <a:picLocks noChangeAspect="1" noChangeArrowheads="1"/>
                          </pic:cNvPicPr>
                        </pic:nvPicPr>
                        <pic:blipFill>
                          <a:blip r:embed="rId23"/>
                          <a:stretch>
                            <a:fillRect/>
                          </a:stretch>
                        </pic:blipFill>
                        <pic:spPr bwMode="auto">
                          <a:xfrm>
                            <a:off x="0" y="0"/>
                            <a:ext cx="599440" cy="611505"/>
                          </a:xfrm>
                          <a:prstGeom prst="rect">
                            <a:avLst/>
                          </a:prstGeom>
                        </pic:spPr>
                      </pic:pic>
                    </a:graphicData>
                  </a:graphic>
                </wp:inline>
              </w:drawing>
            </w:r>
          </w:p>
        </w:tc>
        <w:tc>
          <w:tcPr>
            <w:tcW w:w="1165" w:type="dxa"/>
            <w:tcBorders/>
            <w:vAlign w:val="center"/>
          </w:tcPr>
          <w:p>
            <w:pPr>
              <w:pStyle w:val="Normal"/>
              <w:widowControl/>
              <w:suppressAutoHyphens w:val="true"/>
              <w:spacing w:lineRule="auto" w:line="240" w:before="0" w:after="0"/>
              <w:jc w:val="center"/>
              <w:rPr>
                <w:rFonts w:ascii="Cambria" w:hAnsi="Cambria"/>
              </w:rPr>
            </w:pPr>
            <w:r>
              <w:rPr>
                <w:sz w:val="20"/>
              </w:rPr>
              <w:drawing>
                <wp:inline distT="0" distB="0" distL="0" distR="0">
                  <wp:extent cx="594995" cy="611505"/>
                  <wp:effectExtent l="0" t="0" r="0" b="0"/>
                  <wp:docPr id="13" name="Imagine 6" descr="O imagine care conține Font, text, captură de ecran,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6" descr="O imagine care conține Font, text, captură de ecran, Grafică&#10;&#10;Descriere generată automat"/>
                          <pic:cNvPicPr>
                            <a:picLocks noChangeAspect="1" noChangeArrowheads="1"/>
                          </pic:cNvPicPr>
                        </pic:nvPicPr>
                        <pic:blipFill>
                          <a:blip r:embed="rId24"/>
                          <a:stretch>
                            <a:fillRect/>
                          </a:stretch>
                        </pic:blipFill>
                        <pic:spPr bwMode="auto">
                          <a:xfrm>
                            <a:off x="0" y="0"/>
                            <a:ext cx="594995" cy="611505"/>
                          </a:xfrm>
                          <a:prstGeom prst="rect">
                            <a:avLst/>
                          </a:prstGeom>
                        </pic:spPr>
                      </pic:pic>
                    </a:graphicData>
                  </a:graphic>
                </wp:inline>
              </w:drawing>
            </w:r>
          </w:p>
        </w:tc>
        <w:tc>
          <w:tcPr>
            <w:tcW w:w="1166" w:type="dxa"/>
            <w:tcBorders/>
            <w:vAlign w:val="center"/>
          </w:tcPr>
          <w:p>
            <w:pPr>
              <w:pStyle w:val="Normal"/>
              <w:widowControl/>
              <w:suppressAutoHyphens w:val="true"/>
              <w:spacing w:lineRule="auto" w:line="240" w:before="0" w:after="0"/>
              <w:jc w:val="center"/>
              <w:rPr>
                <w:rFonts w:ascii="Cambria" w:hAnsi="Cambria"/>
              </w:rPr>
            </w:pPr>
            <w:r>
              <w:rPr>
                <w:sz w:val="20"/>
              </w:rPr>
              <w:drawing>
                <wp:inline distT="0" distB="0" distL="0" distR="0">
                  <wp:extent cx="601345" cy="611505"/>
                  <wp:effectExtent l="0" t="0" r="0" b="0"/>
                  <wp:docPr id="14" name="Imagine 7" descr="O imagine care conține text, Font, Grafică,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7" descr="O imagine care conține text, Font, Grafică, siglă&#10;&#10;Descriere generată automat"/>
                          <pic:cNvPicPr>
                            <a:picLocks noChangeAspect="1" noChangeArrowheads="1"/>
                          </pic:cNvPicPr>
                        </pic:nvPicPr>
                        <pic:blipFill>
                          <a:blip r:embed="rId25"/>
                          <a:stretch>
                            <a:fillRect/>
                          </a:stretch>
                        </pic:blipFill>
                        <pic:spPr bwMode="auto">
                          <a:xfrm>
                            <a:off x="0" y="0"/>
                            <a:ext cx="601345" cy="611505"/>
                          </a:xfrm>
                          <a:prstGeom prst="rect">
                            <a:avLst/>
                          </a:prstGeom>
                        </pic:spPr>
                      </pic:pic>
                    </a:graphicData>
                  </a:graphic>
                </wp:inline>
              </w:drawing>
            </w:r>
          </w:p>
        </w:tc>
        <w:tc>
          <w:tcPr>
            <w:tcW w:w="1165" w:type="dxa"/>
            <w:tcBorders/>
            <w:vAlign w:val="center"/>
          </w:tcPr>
          <w:p>
            <w:pPr>
              <w:pStyle w:val="Normal"/>
              <w:widowControl/>
              <w:suppressAutoHyphens w:val="true"/>
              <w:spacing w:lineRule="auto" w:line="240" w:before="0" w:after="0"/>
              <w:jc w:val="center"/>
              <w:rPr>
                <w:rFonts w:ascii="Cambria" w:hAnsi="Cambria"/>
              </w:rPr>
            </w:pPr>
            <w:r>
              <w:rPr>
                <w:sz w:val="20"/>
              </w:rPr>
              <w:drawing>
                <wp:inline distT="0" distB="0" distL="0" distR="0">
                  <wp:extent cx="600075" cy="611505"/>
                  <wp:effectExtent l="0" t="0" r="0" b="0"/>
                  <wp:docPr id="15" name="Imagine 8" descr="O imagine care conține pește, Font, Aripioară,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8" descr="O imagine care conține pește, Font, Aripioară, Grafică&#10;&#10;Descriere generată automat"/>
                          <pic:cNvPicPr>
                            <a:picLocks noChangeAspect="1" noChangeArrowheads="1"/>
                          </pic:cNvPicPr>
                        </pic:nvPicPr>
                        <pic:blipFill>
                          <a:blip r:embed="rId26"/>
                          <a:stretch>
                            <a:fillRect/>
                          </a:stretch>
                        </pic:blipFill>
                        <pic:spPr bwMode="auto">
                          <a:xfrm>
                            <a:off x="0" y="0"/>
                            <a:ext cx="600075" cy="611505"/>
                          </a:xfrm>
                          <a:prstGeom prst="rect">
                            <a:avLst/>
                          </a:prstGeom>
                        </pic:spPr>
                      </pic:pic>
                    </a:graphicData>
                  </a:graphic>
                </wp:inline>
              </w:drawing>
            </w:r>
          </w:p>
        </w:tc>
        <w:tc>
          <w:tcPr>
            <w:tcW w:w="1167" w:type="dxa"/>
            <w:tcBorders/>
            <w:vAlign w:val="center"/>
          </w:tcPr>
          <w:p>
            <w:pPr>
              <w:pStyle w:val="Normal"/>
              <w:widowControl/>
              <w:suppressAutoHyphens w:val="true"/>
              <w:spacing w:lineRule="auto" w:line="240" w:before="0" w:after="0"/>
              <w:jc w:val="center"/>
              <w:rPr>
                <w:rFonts w:ascii="Cambria" w:hAnsi="Cambria"/>
              </w:rPr>
            </w:pPr>
            <w:r>
              <w:rPr>
                <w:sz w:val="20"/>
              </w:rPr>
              <w:drawing>
                <wp:inline distT="0" distB="0" distL="0" distR="0">
                  <wp:extent cx="597535" cy="611505"/>
                  <wp:effectExtent l="0" t="0" r="0" b="0"/>
                  <wp:docPr id="16" name="Imagine 9" descr="O imagine care conține text, Grafică, Font, verd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9" descr="O imagine care conține text, Grafică, Font, verde&#10;&#10;Descriere generată automat"/>
                          <pic:cNvPicPr>
                            <a:picLocks noChangeAspect="1" noChangeArrowheads="1"/>
                          </pic:cNvPicPr>
                        </pic:nvPicPr>
                        <pic:blipFill>
                          <a:blip r:embed="rId27"/>
                          <a:stretch>
                            <a:fillRect/>
                          </a:stretch>
                        </pic:blipFill>
                        <pic:spPr bwMode="auto">
                          <a:xfrm>
                            <a:off x="0" y="0"/>
                            <a:ext cx="597535" cy="611505"/>
                          </a:xfrm>
                          <a:prstGeom prst="rect">
                            <a:avLst/>
                          </a:prstGeom>
                        </pic:spPr>
                      </pic:pic>
                    </a:graphicData>
                  </a:graphic>
                </wp:inline>
              </w:drawing>
            </w:r>
          </w:p>
        </w:tc>
        <w:tc>
          <w:tcPr>
            <w:tcW w:w="1164" w:type="dxa"/>
            <w:tcBorders/>
            <w:vAlign w:val="center"/>
          </w:tcPr>
          <w:p>
            <w:pPr>
              <w:pStyle w:val="Normal"/>
              <w:widowControl/>
              <w:suppressAutoHyphens w:val="true"/>
              <w:spacing w:lineRule="auto" w:line="240" w:before="0" w:after="0"/>
              <w:jc w:val="center"/>
              <w:rPr>
                <w:rFonts w:ascii="Cambria" w:hAnsi="Cambria"/>
              </w:rPr>
            </w:pPr>
            <w:r>
              <w:rPr>
                <w:sz w:val="20"/>
              </w:rPr>
              <w:drawing>
                <wp:inline distT="0" distB="0" distL="0" distR="0">
                  <wp:extent cx="613410" cy="611505"/>
                  <wp:effectExtent l="0" t="0" r="0" b="0"/>
                  <wp:docPr id="17" name="Imagine 32" descr="O imagine care conține pasăre, text, proiectar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32" descr="O imagine care conține pasăre, text, proiectare&#10;&#10;Descriere generată automat"/>
                          <pic:cNvPicPr>
                            <a:picLocks noChangeAspect="1" noChangeArrowheads="1"/>
                          </pic:cNvPicPr>
                        </pic:nvPicPr>
                        <pic:blipFill>
                          <a:blip r:embed="rId28"/>
                          <a:stretch>
                            <a:fillRect/>
                          </a:stretch>
                        </pic:blipFill>
                        <pic:spPr bwMode="auto">
                          <a:xfrm>
                            <a:off x="0" y="0"/>
                            <a:ext cx="613410" cy="611505"/>
                          </a:xfrm>
                          <a:prstGeom prst="rect">
                            <a:avLst/>
                          </a:prstGeom>
                        </pic:spPr>
                      </pic:pic>
                    </a:graphicData>
                  </a:graphic>
                </wp:inline>
              </w:drawing>
            </w:r>
          </w:p>
        </w:tc>
        <w:tc>
          <w:tcPr>
            <w:tcW w:w="1167" w:type="dxa"/>
            <w:tcBorders/>
            <w:vAlign w:val="center"/>
          </w:tcPr>
          <w:p>
            <w:pPr>
              <w:pStyle w:val="Normal"/>
              <w:widowControl/>
              <w:suppressAutoHyphens w:val="true"/>
              <w:spacing w:lineRule="auto" w:line="240" w:before="0" w:after="0"/>
              <w:jc w:val="center"/>
              <w:rPr>
                <w:rFonts w:ascii="Cambria" w:hAnsi="Cambria"/>
              </w:rPr>
            </w:pPr>
            <w:r>
              <w:rPr>
                <w:sz w:val="20"/>
              </w:rPr>
              <w:drawing>
                <wp:inline distT="0" distB="0" distL="0" distR="0">
                  <wp:extent cx="596900" cy="611505"/>
                  <wp:effectExtent l="0" t="0" r="0" b="0"/>
                  <wp:docPr id="18" name="Imagine 34" descr="O imagine care conține text, captură de ecran, siglă,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34" descr="O imagine care conține text, captură de ecran, siglă, Font&#10;&#10;Descriere generată automat"/>
                          <pic:cNvPicPr>
                            <a:picLocks noChangeAspect="1" noChangeArrowheads="1"/>
                          </pic:cNvPicPr>
                        </pic:nvPicPr>
                        <pic:blipFill>
                          <a:blip r:embed="rId29"/>
                          <a:stretch>
                            <a:fillRect/>
                          </a:stretch>
                        </pic:blipFill>
                        <pic:spPr bwMode="auto">
                          <a:xfrm>
                            <a:off x="0" y="0"/>
                            <a:ext cx="596900" cy="611505"/>
                          </a:xfrm>
                          <a:prstGeom prst="rect">
                            <a:avLst/>
                          </a:prstGeom>
                        </pic:spPr>
                      </pic:pic>
                    </a:graphicData>
                  </a:graphic>
                </wp:inline>
              </w:drawing>
            </w:r>
          </w:p>
        </w:tc>
        <w:tc>
          <w:tcPr>
            <w:tcW w:w="1165" w:type="dxa"/>
            <w:tcBorders/>
            <w:vAlign w:val="center"/>
          </w:tcPr>
          <w:p>
            <w:pPr>
              <w:pStyle w:val="Normal"/>
              <w:widowControl/>
              <w:suppressAutoHyphens w:val="true"/>
              <w:spacing w:lineRule="auto" w:line="240" w:before="0" w:after="0"/>
              <w:jc w:val="center"/>
              <w:rPr>
                <w:rFonts w:ascii="Cambria" w:hAnsi="Cambria"/>
              </w:rPr>
            </w:pPr>
            <w:r>
              <w:rPr>
                <w:rFonts w:eastAsia="Calibri" w:cs="Times New Roman" w:ascii="Cambria" w:hAnsi="Cambria"/>
                <w:kern w:val="0"/>
                <w:sz w:val="20"/>
                <w:szCs w:val="20"/>
                <w:lang w:eastAsia="ro-RO" w:bidi="ar-SA"/>
              </w:rPr>
              <w:t>Nu se aplică nici o etichetă</w:t>
            </w:r>
          </w:p>
        </w:tc>
      </w:tr>
      <w:tr>
        <w:trPr>
          <w:trHeight w:val="397" w:hRule="atLeast"/>
        </w:trPr>
        <w:tc>
          <w:tcPr>
            <w:tcW w:w="1165" w:type="dxa"/>
            <w:tcBorders/>
            <w:vAlign w:val="center"/>
          </w:tcPr>
          <w:p>
            <w:pPr>
              <w:pStyle w:val="Normal"/>
              <w:widowControl/>
              <w:suppressAutoHyphens w:val="true"/>
              <w:spacing w:lineRule="auto" w:line="240" w:before="0" w:after="0"/>
              <w:jc w:val="center"/>
              <w:rPr>
                <w:rFonts w:ascii="Cambria" w:hAnsi="Cambria"/>
              </w:rPr>
            </w:pPr>
            <w:r>
              <w:rPr>
                <w:sz w:val="20"/>
              </w:rPr>
              <w:object>
                <v:shape id="control_shape_10" o:allowincell="t" style="width:13pt;height:18.25pt" type="#_x0000_t75"/>
                <w:control r:id="rId30" w:name="OptionButton19" w:shapeid="control_shape_10"/>
              </w:object>
            </w:r>
          </w:p>
        </w:tc>
        <w:tc>
          <w:tcPr>
            <w:tcW w:w="1166" w:type="dxa"/>
            <w:gridSpan w:val="2"/>
            <w:tcBorders/>
            <w:vAlign w:val="center"/>
          </w:tcPr>
          <w:p>
            <w:pPr>
              <w:pStyle w:val="Normal"/>
              <w:widowControl/>
              <w:suppressAutoHyphens w:val="true"/>
              <w:spacing w:lineRule="auto" w:line="240" w:before="0" w:after="0"/>
              <w:jc w:val="center"/>
              <w:rPr>
                <w:rFonts w:ascii="Cambria" w:hAnsi="Cambria"/>
              </w:rPr>
            </w:pPr>
            <w:r>
              <w:rPr>
                <w:sz w:val="20"/>
              </w:rPr>
              <w:object>
                <v:shape id="control_shape_11" o:allowincell="t" style="width:13pt;height:18.25pt" type="#_x0000_t75"/>
                <w:control r:id="rId31" w:name="OptionButton110" w:shapeid="control_shape_11"/>
              </w:object>
            </w:r>
          </w:p>
        </w:tc>
        <w:tc>
          <w:tcPr>
            <w:tcW w:w="1165" w:type="dxa"/>
            <w:tcBorders/>
            <w:vAlign w:val="center"/>
          </w:tcPr>
          <w:p>
            <w:pPr>
              <w:pStyle w:val="Normal"/>
              <w:widowControl/>
              <w:suppressAutoHyphens w:val="true"/>
              <w:spacing w:lineRule="auto" w:line="240" w:before="0" w:after="0"/>
              <w:jc w:val="center"/>
              <w:rPr>
                <w:rFonts w:ascii="Cambria" w:hAnsi="Cambria"/>
              </w:rPr>
            </w:pPr>
            <w:r>
              <w:rPr>
                <w:sz w:val="20"/>
              </w:rPr>
              <w:object>
                <v:shape id="control_shape_12" o:allowincell="t" style="width:13pt;height:18.25pt" type="#_x0000_t75"/>
                <w:control r:id="rId32" w:name="OptionButton111" w:shapeid="control_shape_12"/>
              </w:object>
            </w:r>
          </w:p>
        </w:tc>
        <w:tc>
          <w:tcPr>
            <w:tcW w:w="1166" w:type="dxa"/>
            <w:tcBorders/>
            <w:vAlign w:val="center"/>
          </w:tcPr>
          <w:p>
            <w:pPr>
              <w:pStyle w:val="Normal"/>
              <w:widowControl/>
              <w:suppressAutoHyphens w:val="true"/>
              <w:spacing w:lineRule="auto" w:line="240" w:before="0" w:after="0"/>
              <w:jc w:val="center"/>
              <w:rPr>
                <w:rFonts w:ascii="Cambria" w:hAnsi="Cambria"/>
              </w:rPr>
            </w:pPr>
            <w:r>
              <w:rPr>
                <w:sz w:val="20"/>
              </w:rPr>
              <w:object>
                <v:shape id="control_shape_13" o:allowincell="t" style="width:13pt;height:18.25pt" type="#_x0000_t75"/>
                <w:control r:id="rId33" w:name="OptionButton112" w:shapeid="control_shape_13"/>
              </w:object>
            </w:r>
          </w:p>
        </w:tc>
        <w:tc>
          <w:tcPr>
            <w:tcW w:w="1165" w:type="dxa"/>
            <w:tcBorders/>
            <w:vAlign w:val="center"/>
          </w:tcPr>
          <w:p>
            <w:pPr>
              <w:pStyle w:val="Normal"/>
              <w:widowControl/>
              <w:suppressAutoHyphens w:val="true"/>
              <w:spacing w:lineRule="auto" w:line="240" w:before="0" w:after="0"/>
              <w:jc w:val="center"/>
              <w:rPr>
                <w:rFonts w:ascii="Cambria" w:hAnsi="Cambria"/>
              </w:rPr>
            </w:pPr>
            <w:r>
              <w:rPr>
                <w:sz w:val="20"/>
              </w:rPr>
              <w:object>
                <v:shape id="control_shape_14" o:allowincell="t" style="width:13pt;height:18.25pt" type="#_x0000_t75"/>
                <w:control r:id="rId34" w:name="OptionButton113" w:shapeid="control_shape_14"/>
              </w:object>
            </w:r>
          </w:p>
        </w:tc>
        <w:tc>
          <w:tcPr>
            <w:tcW w:w="1167" w:type="dxa"/>
            <w:tcBorders/>
            <w:vAlign w:val="center"/>
          </w:tcPr>
          <w:p>
            <w:pPr>
              <w:pStyle w:val="Normal"/>
              <w:widowControl/>
              <w:suppressAutoHyphens w:val="true"/>
              <w:spacing w:lineRule="auto" w:line="240" w:before="0" w:after="0"/>
              <w:jc w:val="center"/>
              <w:rPr>
                <w:rFonts w:ascii="Cambria" w:hAnsi="Cambria"/>
              </w:rPr>
            </w:pPr>
            <w:r>
              <w:rPr>
                <w:sz w:val="20"/>
              </w:rPr>
              <w:object>
                <v:shape id="control_shape_15" o:allowincell="t" style="width:13pt;height:18.25pt" type="#_x0000_t75"/>
                <w:control r:id="rId35" w:name="OptionButton114" w:shapeid="control_shape_15"/>
              </w:object>
            </w:r>
          </w:p>
        </w:tc>
        <w:tc>
          <w:tcPr>
            <w:tcW w:w="1164" w:type="dxa"/>
            <w:tcBorders/>
            <w:vAlign w:val="center"/>
          </w:tcPr>
          <w:p>
            <w:pPr>
              <w:pStyle w:val="Normal"/>
              <w:widowControl/>
              <w:suppressAutoHyphens w:val="true"/>
              <w:spacing w:lineRule="auto" w:line="240" w:before="0" w:after="0"/>
              <w:jc w:val="center"/>
              <w:rPr>
                <w:rFonts w:ascii="Cambria" w:hAnsi="Cambria"/>
              </w:rPr>
            </w:pPr>
            <w:r>
              <w:rPr>
                <w:sz w:val="20"/>
              </w:rPr>
              <w:object>
                <v:shape id="control_shape_16" o:allowincell="t" style="width:13pt;height:18.25pt" type="#_x0000_t75"/>
                <w:control r:id="rId36" w:name="OptionButton115" w:shapeid="control_shape_16"/>
              </w:object>
            </w:r>
          </w:p>
        </w:tc>
        <w:tc>
          <w:tcPr>
            <w:tcW w:w="1167" w:type="dxa"/>
            <w:tcBorders/>
            <w:vAlign w:val="center"/>
          </w:tcPr>
          <w:p>
            <w:pPr>
              <w:pStyle w:val="Normal"/>
              <w:widowControl/>
              <w:suppressAutoHyphens w:val="true"/>
              <w:spacing w:lineRule="auto" w:line="240" w:before="0" w:after="0"/>
              <w:jc w:val="center"/>
              <w:rPr>
                <w:rFonts w:ascii="Cambria" w:hAnsi="Cambria"/>
              </w:rPr>
            </w:pPr>
            <w:r>
              <w:rPr>
                <w:sz w:val="20"/>
              </w:rPr>
              <w:object>
                <v:shape id="control_shape_17" o:allowincell="t" style="width:13pt;height:18.25pt" type="#_x0000_t75"/>
                <w:control r:id="rId37" w:name="OptionButton116" w:shapeid="control_shape_17"/>
              </w:object>
            </w:r>
          </w:p>
        </w:tc>
        <w:tc>
          <w:tcPr>
            <w:tcW w:w="1165" w:type="dxa"/>
            <w:tcBorders/>
            <w:vAlign w:val="center"/>
          </w:tcPr>
          <w:p>
            <w:pPr>
              <w:pStyle w:val="Normal"/>
              <w:widowControl/>
              <w:suppressAutoHyphens w:val="true"/>
              <w:spacing w:lineRule="auto" w:line="240" w:before="0" w:after="0"/>
              <w:jc w:val="center"/>
              <w:rPr>
                <w:rFonts w:ascii="Cambria" w:hAnsi="Cambria"/>
              </w:rPr>
            </w:pPr>
            <w:r>
              <w:rPr>
                <w:sz w:val="20"/>
              </w:rPr>
              <w:object>
                <v:shape id="control_shape_18" o:allowincell="t" style="width:13pt;height:18.25pt" type="#_x0000_t75"/>
                <w:control r:id="rId38" w:name="OptionButton1161" w:shapeid="control_shape_18"/>
              </w:object>
            </w:r>
          </w:p>
        </w:tc>
      </w:tr>
    </w:tbl>
    <w:p>
      <w:pPr>
        <w:pStyle w:val="Normal"/>
        <w:rPr>
          <w:rFonts w:ascii="Cambria" w:hAnsi="Cambria"/>
          <w:sz w:val="20"/>
          <w:szCs w:val="20"/>
        </w:rPr>
      </w:pPr>
      <w:r>
        <w:rPr>
          <w:rFonts w:ascii="Cambria" w:hAnsi="Cambria"/>
          <w:sz w:val="20"/>
          <w:szCs w:val="20"/>
        </w:rPr>
      </w:r>
    </w:p>
    <w:p>
      <w:pPr>
        <w:pStyle w:val="Normal"/>
        <w:rPr>
          <w:rFonts w:ascii="Cambria" w:hAnsi="Cambria"/>
          <w:sz w:val="20"/>
          <w:szCs w:val="20"/>
        </w:rPr>
      </w:pPr>
      <w:r>
        <w:rPr>
          <w:rFonts w:ascii="Cambria" w:hAnsi="Cambria"/>
          <w:sz w:val="20"/>
          <w:szCs w:val="20"/>
        </w:rPr>
      </w:r>
    </w:p>
    <w:tbl>
      <w:tblPr>
        <w:tblStyle w:val="Tabelgril"/>
        <w:tblW w:w="10491" w:type="dxa"/>
        <w:jc w:val="left"/>
        <w:tblInd w:w="-431" w:type="dxa"/>
        <w:tblLayout w:type="fixed"/>
        <w:tblCellMar>
          <w:top w:w="0" w:type="dxa"/>
          <w:left w:w="108" w:type="dxa"/>
          <w:bottom w:w="0" w:type="dxa"/>
          <w:right w:w="108" w:type="dxa"/>
        </w:tblCellMar>
        <w:tblLook w:firstRow="1" w:noVBand="1" w:lastRow="0" w:firstColumn="1" w:lastColumn="0" w:noHBand="0" w:val="04a0"/>
      </w:tblPr>
      <w:tblGrid>
        <w:gridCol w:w="2553"/>
        <w:gridCol w:w="2835"/>
        <w:gridCol w:w="1134"/>
        <w:gridCol w:w="3969"/>
      </w:tblGrid>
      <w:tr>
        <w:trPr>
          <w:trHeight w:val="985" w:hRule="atLeast"/>
        </w:trPr>
        <w:tc>
          <w:tcPr>
            <w:tcW w:w="2553" w:type="dxa"/>
            <w:tcBorders>
              <w:top w:val="nil"/>
              <w:left w:val="nil"/>
              <w:bottom w:val="nil"/>
              <w:right w:val="nil"/>
            </w:tcBorders>
          </w:tcPr>
          <w:p>
            <w:pPr>
              <w:pStyle w:val="Normal"/>
              <w:widowControl/>
              <w:suppressAutoHyphens w:val="true"/>
              <w:spacing w:lineRule="auto" w:line="360" w:before="0" w:after="0"/>
              <w:jc w:val="left"/>
              <w:rPr>
                <w:rFonts w:ascii="Cambria" w:hAnsi="Cambria"/>
              </w:rPr>
            </w:pPr>
            <w:r>
              <w:rPr>
                <w:rFonts w:eastAsia="Calibri" w:cs="Times New Roman" w:ascii="Cambria" w:hAnsi="Cambria"/>
                <w:kern w:val="0"/>
                <w:sz w:val="20"/>
                <w:szCs w:val="20"/>
                <w:lang w:eastAsia="ro-RO" w:bidi="ar-SA"/>
              </w:rPr>
              <w:t>Data completării:</w:t>
            </w:r>
          </w:p>
          <w:p>
            <w:pPr>
              <w:pStyle w:val="Normal"/>
              <w:widowControl/>
              <w:suppressAutoHyphens w:val="true"/>
              <w:spacing w:lineRule="auto" w:line="360" w:before="0" w:after="0"/>
              <w:jc w:val="left"/>
              <w:rPr>
                <w:rFonts w:ascii="Cambria" w:hAnsi="Cambria"/>
              </w:rPr>
            </w:pPr>
            <w:r>
              <w:rPr>
                <w:rFonts w:eastAsia="Calibri" w:cs="Times New Roman" w:ascii="Cambria" w:hAnsi="Cambria"/>
                <w:kern w:val="0"/>
                <w:sz w:val="20"/>
                <w:szCs w:val="20"/>
                <w:lang w:eastAsia="ro-RO" w:bidi="ar-SA"/>
              </w:rPr>
              <w:t>15 aprilie 2026</w:t>
            </w:r>
          </w:p>
        </w:tc>
        <w:tc>
          <w:tcPr>
            <w:tcW w:w="3969" w:type="dxa"/>
            <w:gridSpan w:val="2"/>
            <w:tcBorders>
              <w:top w:val="nil"/>
              <w:left w:val="nil"/>
              <w:bottom w:val="nil"/>
              <w:right w:val="nil"/>
            </w:tcBorders>
          </w:tcPr>
          <w:p>
            <w:pPr>
              <w:pStyle w:val="Normal"/>
              <w:widowControl/>
              <w:suppressAutoHyphens w:val="true"/>
              <w:spacing w:lineRule="auto" w:line="360" w:before="0" w:after="0"/>
              <w:jc w:val="center"/>
              <w:rPr>
                <w:sz w:val="20"/>
              </w:rPr>
            </w:pPr>
            <w:r>
              <w:rPr>
                <w:rFonts w:eastAsia="Calibri" w:cs="Times New Roman" w:ascii="Cambria" w:hAnsi="Cambria"/>
                <w:kern w:val="0"/>
                <w:sz w:val="20"/>
                <w:szCs w:val="20"/>
                <w:lang w:eastAsia="ro-RO" w:bidi="ar-SA"/>
              </w:rPr>
              <w:t>Semnătura titularului de curs</w:t>
            </w:r>
          </w:p>
          <w:p>
            <w:pPr>
              <w:pStyle w:val="Normal"/>
              <w:widowControl/>
              <w:suppressAutoHyphens w:val="true"/>
              <w:spacing w:lineRule="auto" w:line="360" w:before="0" w:after="0"/>
              <w:jc w:val="center"/>
              <w:rPr>
                <w:sz w:val="20"/>
              </w:rPr>
            </w:pPr>
            <w:r>
              <w:rPr>
                <w:rFonts w:eastAsia="Calibri" w:cs="Times New Roman" w:ascii="Cambria" w:hAnsi="Cambria"/>
                <w:kern w:val="0"/>
                <w:sz w:val="20"/>
                <w:szCs w:val="20"/>
                <w:lang w:eastAsia="ro-RO" w:bidi="ar-SA"/>
              </w:rPr>
              <w:t>Con</w:t>
            </w:r>
            <w:r>
              <w:rPr>
                <w:rFonts w:eastAsia="Calibri" w:cs="Times New Roman" w:ascii="Cambria" w:hAnsi="Cambria"/>
                <w:kern w:val="0"/>
                <w:sz w:val="20"/>
                <w:szCs w:val="20"/>
                <w:lang w:val="hu-HU" w:eastAsia="ro-RO" w:bidi="ar-SA"/>
              </w:rPr>
              <w:t>f. D</w:t>
            </w:r>
            <w:r>
              <w:rPr>
                <w:rFonts w:eastAsia="Calibri" w:cs="Times New Roman" w:ascii="Cambria" w:hAnsi="Cambria"/>
                <w:kern w:val="0"/>
                <w:sz w:val="20"/>
                <w:szCs w:val="20"/>
                <w:lang w:eastAsia="ro-RO" w:bidi="ar-SA"/>
              </w:rPr>
              <w:t>r. Finta Zolt</w:t>
            </w:r>
            <w:r>
              <w:rPr>
                <w:rFonts w:eastAsia="Calibri" w:cs="Times New Roman" w:ascii="Cambria" w:hAnsi="Cambria"/>
                <w:kern w:val="0"/>
                <w:sz w:val="20"/>
                <w:szCs w:val="20"/>
                <w:lang w:val="hu-HU" w:eastAsia="ro-RO" w:bidi="ar-SA"/>
              </w:rPr>
              <w:t>án</w:t>
            </w:r>
          </w:p>
        </w:tc>
        <w:tc>
          <w:tcPr>
            <w:tcW w:w="3969" w:type="dxa"/>
            <w:tcBorders>
              <w:top w:val="nil"/>
              <w:left w:val="nil"/>
              <w:bottom w:val="nil"/>
              <w:right w:val="nil"/>
            </w:tcBorders>
          </w:tcPr>
          <w:p>
            <w:pPr>
              <w:pStyle w:val="Normal"/>
              <w:widowControl/>
              <w:suppressAutoHyphens w:val="true"/>
              <w:spacing w:lineRule="auto" w:line="360" w:before="0" w:after="0"/>
              <w:jc w:val="center"/>
              <w:rPr>
                <w:rFonts w:ascii="Cambria" w:hAnsi="Cambria"/>
              </w:rPr>
            </w:pPr>
            <w:r>
              <w:rPr>
                <w:rFonts w:eastAsia="Calibri" w:cs="Times New Roman" w:ascii="Cambria" w:hAnsi="Cambria"/>
                <w:kern w:val="0"/>
                <w:sz w:val="20"/>
                <w:szCs w:val="20"/>
                <w:lang w:eastAsia="ro-RO" w:bidi="ar-SA"/>
              </w:rPr>
              <w:t>Semnătura titularului de seminar</w:t>
            </w:r>
          </w:p>
          <w:p>
            <w:pPr>
              <w:pStyle w:val="Normal"/>
              <w:spacing w:before="0" w:after="160"/>
              <w:ind w:firstLine="708" w:right="0"/>
              <w:jc w:val="left"/>
              <w:rPr>
                <w:rFonts w:ascii="Cambria" w:hAnsi="Cambria"/>
                <w:sz w:val="20"/>
                <w:szCs w:val="20"/>
              </w:rPr>
            </w:pPr>
            <w:r>
              <w:rPr>
                <w:rFonts w:eastAsia="Calibri" w:cs="Times New Roman" w:ascii="Cambria" w:hAnsi="Cambria"/>
                <w:kern w:val="0"/>
                <w:sz w:val="20"/>
                <w:szCs w:val="20"/>
                <w:lang w:eastAsia="ro-RO" w:bidi="ar-SA"/>
              </w:rPr>
              <w:t>Con</w:t>
            </w:r>
            <w:r>
              <w:rPr>
                <w:rFonts w:eastAsia="Calibri" w:cs="Times New Roman" w:ascii="Cambria" w:hAnsi="Cambria"/>
                <w:kern w:val="0"/>
                <w:sz w:val="20"/>
                <w:szCs w:val="20"/>
                <w:lang w:val="hu-HU" w:eastAsia="ro-RO" w:bidi="ar-SA"/>
              </w:rPr>
              <w:t>f. D</w:t>
            </w:r>
            <w:r>
              <w:rPr>
                <w:rFonts w:eastAsia="Calibri" w:cs="Times New Roman" w:ascii="Cambria" w:hAnsi="Cambria"/>
                <w:kern w:val="0"/>
                <w:sz w:val="20"/>
                <w:szCs w:val="20"/>
                <w:lang w:eastAsia="ro-RO" w:bidi="ar-SA"/>
              </w:rPr>
              <w:t>r. Finta Zolt</w:t>
            </w:r>
            <w:r>
              <w:rPr>
                <w:rFonts w:eastAsia="Calibri" w:cs="Times New Roman" w:ascii="Cambria" w:hAnsi="Cambria"/>
                <w:kern w:val="0"/>
                <w:sz w:val="20"/>
                <w:szCs w:val="20"/>
                <w:lang w:val="hu-HU" w:eastAsia="ro-RO" w:bidi="ar-SA"/>
              </w:rPr>
              <w:t>án</w:t>
            </w:r>
          </w:p>
        </w:tc>
      </w:tr>
      <w:tr>
        <w:trPr>
          <w:trHeight w:val="766" w:hRule="atLeast"/>
        </w:trPr>
        <w:tc>
          <w:tcPr>
            <w:tcW w:w="2553" w:type="dxa"/>
            <w:tcBorders>
              <w:top w:val="nil"/>
              <w:left w:val="nil"/>
              <w:bottom w:val="nil"/>
              <w:right w:val="nil"/>
            </w:tcBorders>
          </w:tcPr>
          <w:p>
            <w:pPr>
              <w:pStyle w:val="Normal"/>
              <w:widowControl/>
              <w:suppressAutoHyphens w:val="true"/>
              <w:spacing w:lineRule="auto" w:line="360" w:before="0" w:after="0"/>
              <w:jc w:val="left"/>
              <w:rPr>
                <w:rFonts w:ascii="Cambria" w:hAnsi="Cambria"/>
              </w:rPr>
            </w:pPr>
            <w:r>
              <w:rPr>
                <w:rFonts w:ascii="Cambria" w:hAnsi="Cambria"/>
                <w:sz w:val="20"/>
              </w:rPr>
            </w:r>
          </w:p>
        </w:tc>
        <w:tc>
          <w:tcPr>
            <w:tcW w:w="3969" w:type="dxa"/>
            <w:gridSpan w:val="2"/>
            <w:tcBorders>
              <w:top w:val="nil"/>
              <w:left w:val="nil"/>
              <w:bottom w:val="nil"/>
              <w:right w:val="nil"/>
            </w:tcBorders>
          </w:tcPr>
          <w:p>
            <w:pPr>
              <w:pStyle w:val="Normal"/>
              <w:widowControl/>
              <w:suppressAutoHyphens w:val="true"/>
              <w:spacing w:lineRule="auto" w:line="360" w:before="0" w:after="0"/>
              <w:jc w:val="left"/>
              <w:rPr>
                <w:rFonts w:ascii="Cambria" w:hAnsi="Cambria"/>
              </w:rPr>
            </w:pPr>
            <w:r>
              <w:rPr>
                <w:rFonts w:ascii="Cambria" w:hAnsi="Cambria"/>
                <w:sz w:val="20"/>
              </w:rPr>
              <w:drawing>
                <wp:anchor behindDoc="0" distT="0" distB="0" distL="0" distR="0" simplePos="0" locked="0" layoutInCell="0" allowOverlap="1" relativeHeight="20">
                  <wp:simplePos x="0" y="0"/>
                  <wp:positionH relativeFrom="column">
                    <wp:posOffset>677545</wp:posOffset>
                  </wp:positionH>
                  <wp:positionV relativeFrom="paragraph">
                    <wp:posOffset>68580</wp:posOffset>
                  </wp:positionV>
                  <wp:extent cx="913765" cy="381000"/>
                  <wp:effectExtent l="0" t="0" r="0" b="0"/>
                  <wp:wrapSquare wrapText="largest"/>
                  <wp:docPr id="19"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 descr=""/>
                          <pic:cNvPicPr>
                            <a:picLocks noChangeAspect="1" noChangeArrowheads="1"/>
                          </pic:cNvPicPr>
                        </pic:nvPicPr>
                        <pic:blipFill>
                          <a:blip r:embed="rId39"/>
                          <a:stretch>
                            <a:fillRect/>
                          </a:stretch>
                        </pic:blipFill>
                        <pic:spPr bwMode="auto">
                          <a:xfrm>
                            <a:off x="0" y="0"/>
                            <a:ext cx="913765" cy="381000"/>
                          </a:xfrm>
                          <a:prstGeom prst="rect">
                            <a:avLst/>
                          </a:prstGeom>
                        </pic:spPr>
                      </pic:pic>
                    </a:graphicData>
                  </a:graphic>
                </wp:anchor>
              </w:drawing>
            </w:r>
          </w:p>
        </w:tc>
        <w:tc>
          <w:tcPr>
            <w:tcW w:w="3969" w:type="dxa"/>
            <w:tcBorders>
              <w:top w:val="nil"/>
              <w:left w:val="nil"/>
              <w:bottom w:val="nil"/>
              <w:right w:val="nil"/>
            </w:tcBorders>
          </w:tcPr>
          <w:p>
            <w:pPr>
              <w:pStyle w:val="Normal"/>
              <w:widowControl/>
              <w:suppressAutoHyphens w:val="true"/>
              <w:spacing w:lineRule="auto" w:line="360" w:before="0" w:after="0"/>
              <w:jc w:val="left"/>
              <w:rPr>
                <w:rFonts w:ascii="Cambria" w:hAnsi="Cambria"/>
              </w:rPr>
            </w:pPr>
            <w:r>
              <w:rPr>
                <w:rFonts w:ascii="Cambria" w:hAnsi="Cambria"/>
                <w:sz w:val="20"/>
              </w:rPr>
              <w:drawing>
                <wp:anchor behindDoc="0" distT="0" distB="0" distL="0" distR="0" simplePos="0" locked="0" layoutInCell="0" allowOverlap="1" relativeHeight="21">
                  <wp:simplePos x="0" y="0"/>
                  <wp:positionH relativeFrom="column">
                    <wp:posOffset>677545</wp:posOffset>
                  </wp:positionH>
                  <wp:positionV relativeFrom="paragraph">
                    <wp:posOffset>68580</wp:posOffset>
                  </wp:positionV>
                  <wp:extent cx="913765" cy="381000"/>
                  <wp:effectExtent l="0" t="0" r="0" b="0"/>
                  <wp:wrapSquare wrapText="largest"/>
                  <wp:docPr id="20" name="Image1 Copy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 Copy 1" descr=""/>
                          <pic:cNvPicPr>
                            <a:picLocks noChangeAspect="1" noChangeArrowheads="1"/>
                          </pic:cNvPicPr>
                        </pic:nvPicPr>
                        <pic:blipFill>
                          <a:blip r:embed="rId40"/>
                          <a:stretch>
                            <a:fillRect/>
                          </a:stretch>
                        </pic:blipFill>
                        <pic:spPr bwMode="auto">
                          <a:xfrm>
                            <a:off x="0" y="0"/>
                            <a:ext cx="913765" cy="381000"/>
                          </a:xfrm>
                          <a:prstGeom prst="rect">
                            <a:avLst/>
                          </a:prstGeom>
                        </pic:spPr>
                      </pic:pic>
                    </a:graphicData>
                  </a:graphic>
                </wp:anchor>
              </w:drawing>
            </w:r>
          </w:p>
        </w:tc>
      </w:tr>
      <w:tr>
        <w:trPr>
          <w:trHeight w:val="1537" w:hRule="atLeast"/>
        </w:trPr>
        <w:tc>
          <w:tcPr>
            <w:tcW w:w="5388" w:type="dxa"/>
            <w:gridSpan w:val="2"/>
            <w:tcBorders>
              <w:top w:val="nil"/>
              <w:left w:val="nil"/>
              <w:bottom w:val="nil"/>
              <w:right w:val="nil"/>
            </w:tcBorders>
          </w:tcPr>
          <w:p>
            <w:pPr>
              <w:pStyle w:val="Normal"/>
              <w:widowControl/>
              <w:suppressAutoHyphens w:val="true"/>
              <w:spacing w:lineRule="auto" w:line="360" w:before="0" w:after="0"/>
              <w:jc w:val="left"/>
              <w:rPr>
                <w:rFonts w:ascii="Cambria" w:hAnsi="Cambria"/>
              </w:rPr>
            </w:pPr>
            <w:r>
              <w:rPr>
                <w:rFonts w:eastAsia="Calibri" w:cs="Times New Roman" w:ascii="Cambria" w:hAnsi="Cambria"/>
                <w:kern w:val="0"/>
                <w:sz w:val="20"/>
                <w:szCs w:val="20"/>
                <w:lang w:eastAsia="ro-RO" w:bidi="ar-SA"/>
              </w:rPr>
              <w:t>Data avizării în departament:</w:t>
            </w:r>
          </w:p>
          <w:p>
            <w:pPr>
              <w:pStyle w:val="Normal"/>
              <w:widowControl/>
              <w:suppressAutoHyphens w:val="true"/>
              <w:spacing w:lineRule="auto" w:line="360" w:before="0" w:after="0"/>
              <w:jc w:val="left"/>
              <w:rPr>
                <w:rFonts w:ascii="Cambria" w:hAnsi="Cambria"/>
              </w:rPr>
            </w:pPr>
            <w:r>
              <w:rPr>
                <w:rFonts w:eastAsia="Calibri" w:cs="Times New Roman" w:ascii="Cambria" w:hAnsi="Cambria"/>
                <w:kern w:val="0"/>
                <w:sz w:val="20"/>
                <w:szCs w:val="20"/>
                <w:lang w:eastAsia="ro-RO" w:bidi="ar-SA"/>
              </w:rPr>
              <w:t>23 aprilie 2026</w:t>
            </w:r>
          </w:p>
          <w:p>
            <w:pPr>
              <w:pStyle w:val="Normal"/>
              <w:widowControl/>
              <w:suppressAutoHyphens w:val="true"/>
              <w:spacing w:lineRule="auto" w:line="360" w:before="0" w:after="0"/>
              <w:jc w:val="left"/>
              <w:rPr>
                <w:rFonts w:ascii="Cambria" w:hAnsi="Cambria"/>
              </w:rPr>
            </w:pPr>
            <w:r>
              <w:rPr>
                <w:rFonts w:ascii="Cambria" w:hAnsi="Cambria"/>
                <w:sz w:val="20"/>
              </w:rPr>
            </w:r>
          </w:p>
          <w:p>
            <w:pPr>
              <w:pStyle w:val="Normal"/>
              <w:widowControl/>
              <w:suppressAutoHyphens w:val="true"/>
              <w:spacing w:lineRule="auto" w:line="360" w:before="0" w:after="0"/>
              <w:jc w:val="left"/>
              <w:rPr>
                <w:rFonts w:ascii="Cambria" w:hAnsi="Cambria"/>
              </w:rPr>
            </w:pPr>
            <w:r>
              <w:rPr>
                <w:rFonts w:ascii="Cambria" w:hAnsi="Cambria"/>
                <w:sz w:val="20"/>
              </w:rPr>
            </w:r>
          </w:p>
        </w:tc>
        <w:tc>
          <w:tcPr>
            <w:tcW w:w="5103" w:type="dxa"/>
            <w:gridSpan w:val="2"/>
            <w:tcBorders>
              <w:top w:val="nil"/>
              <w:left w:val="nil"/>
              <w:bottom w:val="nil"/>
              <w:right w:val="nil"/>
            </w:tcBorders>
          </w:tcPr>
          <w:p>
            <w:pPr>
              <w:pStyle w:val="Normal"/>
              <w:widowControl/>
              <w:suppressAutoHyphens w:val="true"/>
              <w:spacing w:lineRule="auto" w:line="360" w:before="0" w:after="0"/>
              <w:jc w:val="center"/>
              <w:rPr>
                <w:sz w:val="20"/>
              </w:rPr>
            </w:pPr>
            <w:r>
              <w:rPr>
                <w:rFonts w:eastAsia="Calibri" w:cs="Times New Roman" w:ascii="Cambria" w:hAnsi="Cambria"/>
                <w:kern w:val="0"/>
                <w:sz w:val="20"/>
                <w:szCs w:val="20"/>
                <w:lang w:eastAsia="ro-RO" w:bidi="ar-SA"/>
              </w:rPr>
              <w:t>Semnătura directorului de departament</w:t>
            </w:r>
          </w:p>
          <w:p>
            <w:pPr>
              <w:pStyle w:val="Normal"/>
              <w:ind w:hanging="0" w:right="0"/>
              <w:jc w:val="center"/>
              <w:rPr>
                <w:sz w:val="20"/>
              </w:rPr>
            </w:pPr>
            <w:r>
              <w:rPr>
                <w:rFonts w:eastAsia="Calibri" w:cs="Times New Roman" w:ascii="Cambria" w:hAnsi="Cambria"/>
                <w:kern w:val="0"/>
                <w:sz w:val="20"/>
                <w:szCs w:val="20"/>
                <w:lang w:val="ro-RO" w:eastAsia="ro-RO" w:bidi="ar-SA"/>
              </w:rPr>
              <w:t>Con</w:t>
            </w:r>
            <w:r>
              <w:rPr>
                <w:rFonts w:eastAsia="Calibri" w:cs="Times New Roman" w:ascii="Cambria" w:hAnsi="Cambria"/>
                <w:kern w:val="0"/>
                <w:sz w:val="20"/>
                <w:szCs w:val="20"/>
                <w:lang w:val="hu-HU" w:eastAsia="ro-RO" w:bidi="ar-SA"/>
              </w:rPr>
              <w:t>f. D</w:t>
            </w:r>
            <w:r>
              <w:rPr>
                <w:rFonts w:eastAsia="Calibri" w:cs="Times New Roman" w:ascii="Cambria" w:hAnsi="Cambria"/>
                <w:kern w:val="0"/>
                <w:sz w:val="20"/>
                <w:szCs w:val="20"/>
                <w:lang w:val="ro-RO" w:eastAsia="ro-RO" w:bidi="ar-SA"/>
              </w:rPr>
              <w:t>r. Andr</w:t>
            </w:r>
            <w:r>
              <w:rPr>
                <w:rFonts w:eastAsia="Calibri" w:cs="Times New Roman" w:ascii="Cambria" w:hAnsi="Cambria"/>
                <w:kern w:val="0"/>
                <w:sz w:val="20"/>
                <w:szCs w:val="20"/>
                <w:lang w:val="hu-HU" w:eastAsia="ro-RO" w:bidi="ar-SA"/>
              </w:rPr>
              <w:t>ás Szilárd-Károly</w:t>
            </w:r>
          </w:p>
          <w:p>
            <w:pPr>
              <w:pStyle w:val="Normal"/>
              <w:widowControl/>
              <w:suppressAutoHyphens w:val="true"/>
              <w:spacing w:lineRule="auto" w:line="360" w:before="0" w:after="0"/>
              <w:jc w:val="center"/>
              <w:rPr>
                <w:rFonts w:ascii="Cambria" w:hAnsi="Cambria"/>
                <w:b/>
                <w:bCs/>
              </w:rPr>
            </w:pPr>
            <w:r>
              <w:rPr>
                <w:rFonts w:ascii="Cambria" w:hAnsi="Cambria"/>
                <w:b/>
                <w:bCs/>
                <w:sz w:val="20"/>
              </w:rPr>
              <w:drawing>
                <wp:anchor behindDoc="0" distT="0" distB="0" distL="0" distR="0" simplePos="0" locked="0" layoutInCell="0" allowOverlap="1" relativeHeight="22">
                  <wp:simplePos x="0" y="0"/>
                  <wp:positionH relativeFrom="column">
                    <wp:align>center</wp:align>
                  </wp:positionH>
                  <wp:positionV relativeFrom="paragraph">
                    <wp:posOffset>635</wp:posOffset>
                  </wp:positionV>
                  <wp:extent cx="1113155" cy="404495"/>
                  <wp:effectExtent l="0" t="0" r="0" b="0"/>
                  <wp:wrapSquare wrapText="largest"/>
                  <wp:docPr id="21"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2" descr=""/>
                          <pic:cNvPicPr>
                            <a:picLocks noChangeAspect="1" noChangeArrowheads="1"/>
                          </pic:cNvPicPr>
                        </pic:nvPicPr>
                        <pic:blipFill>
                          <a:blip r:embed="rId41"/>
                          <a:stretch>
                            <a:fillRect/>
                          </a:stretch>
                        </pic:blipFill>
                        <pic:spPr bwMode="auto">
                          <a:xfrm>
                            <a:off x="0" y="0"/>
                            <a:ext cx="1113155" cy="404495"/>
                          </a:xfrm>
                          <a:prstGeom prst="rect">
                            <a:avLst/>
                          </a:prstGeom>
                        </pic:spPr>
                      </pic:pic>
                    </a:graphicData>
                  </a:graphic>
                </wp:anchor>
              </w:drawing>
            </w:r>
          </w:p>
          <w:p>
            <w:pPr>
              <w:pStyle w:val="Normal"/>
              <w:widowControl/>
              <w:suppressAutoHyphens w:val="true"/>
              <w:spacing w:lineRule="auto" w:line="360" w:before="0" w:after="0"/>
              <w:jc w:val="center"/>
              <w:rPr>
                <w:rFonts w:ascii="Cambria" w:hAnsi="Cambria"/>
              </w:rPr>
            </w:pPr>
            <w:r>
              <w:rPr>
                <w:rFonts w:ascii="Cambria" w:hAnsi="Cambria"/>
                <w:sz w:val="20"/>
              </w:rPr>
            </w:r>
          </w:p>
        </w:tc>
      </w:tr>
    </w:tbl>
    <w:p>
      <w:pPr>
        <w:pStyle w:val="Normal"/>
        <w:spacing w:before="0" w:after="160"/>
        <w:rPr>
          <w:rFonts w:ascii="Cambria" w:hAnsi="Cambria"/>
          <w:sz w:val="20"/>
          <w:szCs w:val="20"/>
        </w:rPr>
      </w:pPr>
      <w:r>
        <w:rPr>
          <w:rFonts w:ascii="Cambria" w:hAnsi="Cambria"/>
          <w:sz w:val="20"/>
          <w:szCs w:val="20"/>
        </w:rPr>
      </w:r>
    </w:p>
    <w:sectPr>
      <w:footnotePr>
        <w:numFmt w:val="decimal"/>
      </w:footnotePr>
      <w:type w:val="nextPage"/>
      <w:pgSz w:w="11906" w:h="16838"/>
      <w:pgMar w:left="1134" w:right="1134"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Calibri">
    <w:charset w:val="00"/>
    <w:family w:val="roman"/>
    <w:pitch w:val="variable"/>
  </w:font>
  <w:font w:name="Tahoma">
    <w:charset w:val="00"/>
    <w:family w:val="roman"/>
    <w:pitch w:val="variable"/>
  </w:font>
  <w:font w:name="Liberation Sans">
    <w:altName w:val="Arial"/>
    <w:charset w:val="00"/>
    <w:family w:val="roman"/>
    <w:pitch w:val="variable"/>
  </w:font>
  <w:font w:name="Cambria">
    <w:charset w:val="00"/>
    <w:family w:val="roman"/>
    <w:pitch w:val="variable"/>
  </w:font>
  <w:font w:name="Courier New">
    <w:charset w:val="01"/>
    <w:family w:val="modern"/>
    <w:pitch w:val="fixed"/>
  </w:font>
  <w:font w:name="Wingdings">
    <w:charset w:val="02"/>
    <w:family w:val="auto"/>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lineRule="auto" w:line="240" w:before="0" w:after="120"/>
        <w:jc w:val="both"/>
        <w:rPr>
          <w:rFonts w:ascii="Cambria" w:hAnsi="Cambria"/>
        </w:rPr>
      </w:pPr>
      <w:r>
        <w:rPr>
          <w:rStyle w:val="FootnoteCharacters"/>
        </w:rPr>
        <w:footnoteRef/>
      </w:r>
      <w:r>
        <w:rPr>
          <w:rFonts w:ascii="Cambria" w:hAnsi="Cambria"/>
        </w:rPr>
        <w:t xml:space="preserve"> </w:t>
      </w:r>
      <w:r>
        <w:rPr>
          <w:rFonts w:ascii="Cambria" w:hAnsi="Cambria"/>
        </w:rPr>
        <w:t xml:space="preserve">Se vor prelua din Planul de învățământ al programului de studii acele competențe profesionale și/sau transversale la dezvoltarea cărora contribuie disciplina pentru care se elaborează fișa disciplinei. Pentru fiecare competență se va prelua întregul enunț, inclusiv codul competenței, cu formularea care apare în planul de învățământ, fără modificări. Dacă nu se preia nici o competență din oricare din cele două categorii, se șterge linia din tabel aferentă acelei categorii. </w:t>
      </w:r>
    </w:p>
  </w:footnote>
  <w:footnote w:id="3">
    <w:p>
      <w:pPr>
        <w:pStyle w:val="FootnoteText"/>
        <w:spacing w:lineRule="auto" w:line="240" w:before="0" w:after="0"/>
        <w:jc w:val="both"/>
        <w:rPr>
          <w:rFonts w:ascii="Cambria" w:hAnsi="Cambria"/>
        </w:rPr>
      </w:pPr>
      <w:r>
        <w:rPr>
          <w:rStyle w:val="FootnoteCharacters"/>
        </w:rPr>
        <w:footnoteRef/>
      </w:r>
      <w:r>
        <w:rPr>
          <w:rFonts w:ascii="Cambria" w:hAnsi="Cambria"/>
        </w:rPr>
        <w:t xml:space="preserve"> </w:t>
      </w:r>
      <w:r>
        <w:rPr>
          <w:rFonts w:ascii="Cambria" w:hAnsi="Cambria"/>
        </w:rPr>
        <w:t xml:space="preserve">Se menționează rezultatele învățării specifice programului de studiu la dezvoltarea cărora contribuie disciplina pentru care se elaborează fișa. Enunțurile, preluate fără modificări din Planul de învățământ în funcție de tipul disciplinei (DF/DS/DC) se trec în dreptul competenței asociate. </w:t>
      </w:r>
    </w:p>
  </w:footnote>
  <w:footnote w:id="4">
    <w:p>
      <w:pPr>
        <w:pStyle w:val="FootnoteText"/>
        <w:spacing w:lineRule="auto" w:line="240" w:before="0" w:after="120"/>
        <w:rPr/>
      </w:pPr>
      <w:r>
        <w:rPr>
          <w:rStyle w:val="FootnoteCharacters"/>
        </w:rPr>
        <w:footnoteRef/>
      </w:r>
      <w:r>
        <w:rPr/>
        <w:t xml:space="preserve"> </w:t>
      </w:r>
      <w:r>
        <w:rPr>
          <w:rFonts w:ascii="Cambria" w:hAnsi="Cambria"/>
        </w:rPr>
        <w:t>De exemplu aspecte organizatorice,  recomandări pentru studenți, aspecte specifice legate de curs/seminar cum ar fi invitarea unor practicieni în domeniu etc.</w:t>
      </w:r>
    </w:p>
  </w:footnote>
  <w:footnote w:id="5">
    <w:p>
      <w:pPr>
        <w:pStyle w:val="FootnoteText"/>
        <w:spacing w:lineRule="auto" w:line="240" w:before="0" w:after="120"/>
        <w:jc w:val="both"/>
        <w:rPr>
          <w:rFonts w:ascii="Cambria" w:hAnsi="Cambria"/>
        </w:rPr>
      </w:pPr>
      <w:r>
        <w:rPr>
          <w:rStyle w:val="FootnoteCharacters"/>
        </w:rPr>
        <w:footnoteRef/>
      </w:r>
      <w:r>
        <w:rPr>
          <w:rFonts w:ascii="Cambria" w:hAnsi="Cambria"/>
        </w:rPr>
        <w:t xml:space="preserve"> </w:t>
      </w:r>
      <w:r>
        <w:rPr>
          <w:rFonts w:ascii="Cambria" w:hAnsi="Cambria"/>
        </w:rPr>
        <w:t xml:space="preserve">Criteriile de evaluare trebuie să reflecte direct rezultatele învățării vizate la nivel de program de studii, respectiv la nivel de disciplină.  Mai concret, se evaluează achizițiile de învățare menționate în rezultatele anticipate ale învățării. </w:t>
      </w:r>
    </w:p>
  </w:footnote>
  <w:footnote w:id="6">
    <w:p>
      <w:pPr>
        <w:pStyle w:val="FootnoteText"/>
        <w:spacing w:lineRule="auto" w:line="240" w:before="0" w:after="120"/>
        <w:jc w:val="both"/>
        <w:rPr>
          <w:rFonts w:ascii="Cambria" w:hAnsi="Cambria"/>
        </w:rPr>
      </w:pPr>
      <w:r>
        <w:rPr>
          <w:rStyle w:val="FootnoteCharacters"/>
        </w:rPr>
        <w:footnoteRef/>
      </w:r>
      <w:r>
        <w:rPr>
          <w:rFonts w:ascii="Cambria" w:hAnsi="Cambria"/>
        </w:rPr>
        <w:t xml:space="preserve"> </w:t>
      </w:r>
      <w:r>
        <w:rPr>
          <w:rFonts w:ascii="Cambria" w:hAnsi="Cambria"/>
        </w:rPr>
        <w:t xml:space="preserve">Se recomandă stabilirea atât a metodelor de evaluare finală, cât și a strategiei de evaluare pe parcurs. </w:t>
      </w:r>
    </w:p>
  </w:footnote>
  <w:footnote w:id="7">
    <w:p>
      <w:pPr>
        <w:pStyle w:val="FootnoteText"/>
        <w:spacing w:lineRule="auto" w:line="240" w:before="0" w:after="200"/>
        <w:jc w:val="both"/>
        <w:rPr>
          <w:rFonts w:ascii="Cambria" w:hAnsi="Cambria"/>
        </w:rPr>
      </w:pPr>
      <w:r>
        <w:rPr>
          <w:rStyle w:val="FootnoteCharacters"/>
        </w:rPr>
        <w:footnoteRef/>
      </w:r>
      <w:r>
        <w:rPr>
          <w:rFonts w:ascii="Cambria" w:hAnsi="Cambria"/>
        </w:rPr>
        <w:t xml:space="preserve"> </w:t>
      </w:r>
      <w:r>
        <w:rPr>
          <w:rFonts w:ascii="Cambria" w:hAnsi="Cambria"/>
        </w:rPr>
        <w:t xml:space="preserve">Selectați o singură etichetă, cea care, în conformitate cu </w:t>
      </w:r>
      <w:hyperlink r:id="rId1">
        <w:r>
          <w:rPr>
            <w:rStyle w:val="Hyperlink"/>
            <w:rFonts w:ascii="Cambria" w:hAnsi="Cambria"/>
            <w:i/>
            <w:iCs/>
          </w:rPr>
          <w:t>Procedura de aplicare a etichetelor ODD în procesul academic</w:t>
        </w:r>
      </w:hyperlink>
      <w:r>
        <w:rPr>
          <w:rFonts w:ascii="Cambria" w:hAnsi="Cambria"/>
        </w:rPr>
        <w:t>, se potrivește cel mai bine disciplinei. Dacă disciplina tratează tema dezvoltării durabile la modul general (de ex. prin prezentarea/introducerea cadrului general al dezvoltării durabile etc.) atunci se poate aloca eticheta generală de Dezvoltare Durabilă. Dacă niciuna dintre etichete nu descrie disciplina, selectați ultima opțiune: „</w:t>
      </w:r>
      <w:r>
        <w:rPr>
          <w:rFonts w:ascii="Cambria" w:hAnsi="Cambria"/>
          <w:i/>
          <w:iCs/>
        </w:rPr>
        <w:t>Nu se aplică nici o etichetă</w:t>
      </w:r>
      <w:r>
        <w:rPr>
          <w:rFonts w:ascii="Cambria" w:hAnsi="Cambria"/>
        </w:rPr>
        <w:t>”.</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397"/>
        </w:tabs>
        <w:ind w:left="754" w:hanging="397"/>
      </w:pPr>
      <w:rPr/>
    </w:lvl>
    <w:lvl w:ilvl="1">
      <w:start w:val="1"/>
      <w:numFmt w:val="decimal"/>
      <w:lvlText w:val="%2."/>
      <w:lvlJc w:val="left"/>
      <w:pPr>
        <w:tabs>
          <w:tab w:val="num" w:pos="794"/>
        </w:tabs>
        <w:ind w:left="1151" w:hanging="397"/>
      </w:pPr>
      <w:rPr/>
    </w:lvl>
    <w:lvl w:ilvl="2">
      <w:start w:val="1"/>
      <w:numFmt w:val="decimal"/>
      <w:lvlText w:val="%3."/>
      <w:lvlJc w:val="left"/>
      <w:pPr>
        <w:tabs>
          <w:tab w:val="num" w:pos="1191"/>
        </w:tabs>
        <w:ind w:left="1548" w:hanging="397"/>
      </w:pPr>
      <w:rPr/>
    </w:lvl>
    <w:lvl w:ilvl="3">
      <w:start w:val="1"/>
      <w:numFmt w:val="decimal"/>
      <w:lvlText w:val="%4."/>
      <w:lvlJc w:val="left"/>
      <w:pPr>
        <w:tabs>
          <w:tab w:val="num" w:pos="1588"/>
        </w:tabs>
        <w:ind w:left="1945" w:hanging="397"/>
      </w:pPr>
      <w:rPr/>
    </w:lvl>
    <w:lvl w:ilvl="4">
      <w:start w:val="1"/>
      <w:numFmt w:val="decimal"/>
      <w:lvlText w:val="%5."/>
      <w:lvlJc w:val="left"/>
      <w:pPr>
        <w:tabs>
          <w:tab w:val="num" w:pos="1985"/>
        </w:tabs>
        <w:ind w:left="2342" w:hanging="397"/>
      </w:pPr>
      <w:rPr/>
    </w:lvl>
    <w:lvl w:ilvl="5">
      <w:start w:val="1"/>
      <w:numFmt w:val="decimal"/>
      <w:lvlText w:val="%6."/>
      <w:lvlJc w:val="left"/>
      <w:pPr>
        <w:tabs>
          <w:tab w:val="num" w:pos="2381"/>
        </w:tabs>
        <w:ind w:left="2738" w:hanging="397"/>
      </w:pPr>
      <w:rPr/>
    </w:lvl>
    <w:lvl w:ilvl="6">
      <w:start w:val="1"/>
      <w:numFmt w:val="decimal"/>
      <w:lvlText w:val="%7."/>
      <w:lvlJc w:val="left"/>
      <w:pPr>
        <w:tabs>
          <w:tab w:val="num" w:pos="2778"/>
        </w:tabs>
        <w:ind w:left="3135" w:hanging="397"/>
      </w:pPr>
      <w:rPr/>
    </w:lvl>
    <w:lvl w:ilvl="7">
      <w:start w:val="1"/>
      <w:numFmt w:val="decimal"/>
      <w:lvlText w:val="%8."/>
      <w:lvlJc w:val="left"/>
      <w:pPr>
        <w:tabs>
          <w:tab w:val="num" w:pos="3175"/>
        </w:tabs>
        <w:ind w:left="3532" w:hanging="397"/>
      </w:pPr>
      <w:rPr/>
    </w:lvl>
    <w:lvl w:ilvl="8">
      <w:start w:val="1"/>
      <w:numFmt w:val="decimal"/>
      <w:lvlText w:val="%9."/>
      <w:lvlJc w:val="left"/>
      <w:pPr>
        <w:tabs>
          <w:tab w:val="num" w:pos="3572"/>
        </w:tabs>
        <w:ind w:left="3929" w:hanging="397"/>
      </w:pPr>
      <w:rPr/>
    </w:lvl>
  </w:abstractNum>
  <w:abstractNum w:abstractNumId="3">
    <w:lvl w:ilvl="0">
      <w:start w:val="1"/>
      <w:numFmt w:val="bullet"/>
      <w:lvlText w:val=""/>
      <w:lvlJc w:val="left"/>
      <w:pPr>
        <w:tabs>
          <w:tab w:val="num" w:pos="641"/>
        </w:tabs>
        <w:ind w:left="641" w:hanging="357"/>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40"/>
  <w:defaultTabStop w:val="720"/>
  <w:autoHyphenation w:val="true"/>
  <w:footnotePr>
    <w:numFmt w:val="decimal"/>
    <w:footnote w:id="0"/>
    <w:footnote w:id="1"/>
  </w:footnotePr>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a3dd3"/>
    <w:pPr>
      <w:widowControl/>
      <w:suppressAutoHyphens w:val="true"/>
      <w:bidi w:val="0"/>
      <w:spacing w:lineRule="auto" w:line="276" w:before="0" w:after="160"/>
      <w:jc w:val="left"/>
    </w:pPr>
    <w:rPr>
      <w:rFonts w:ascii="Aptos" w:hAnsi="Aptos" w:eastAsia="Aptos" w:cs="" w:asciiTheme="minorHAnsi" w:cstheme="minorBidi" w:eastAsiaTheme="minorHAnsi" w:hAnsiTheme="minorHAnsi"/>
      <w:color w:val="auto"/>
      <w:kern w:val="2"/>
      <w:sz w:val="24"/>
      <w:szCs w:val="24"/>
      <w:lang w:val="ro-RO" w:eastAsia="en-US" w:bidi="ar-SA"/>
    </w:rPr>
  </w:style>
  <w:style w:type="paragraph" w:styleId="Heading1">
    <w:name w:val="Heading 1"/>
    <w:basedOn w:val="Normal"/>
    <w:next w:val="Normal"/>
    <w:link w:val="Titlu1Caracter"/>
    <w:uiPriority w:val="9"/>
    <w:qFormat/>
    <w:rsid w:val="00cc781a"/>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Titlu2Caracter"/>
    <w:uiPriority w:val="9"/>
    <w:semiHidden/>
    <w:unhideWhenUsed/>
    <w:qFormat/>
    <w:rsid w:val="00cc781a"/>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Titlu3Caracter"/>
    <w:uiPriority w:val="9"/>
    <w:semiHidden/>
    <w:unhideWhenUsed/>
    <w:qFormat/>
    <w:rsid w:val="00cc781a"/>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Titlu4Caracter"/>
    <w:uiPriority w:val="9"/>
    <w:semiHidden/>
    <w:unhideWhenUsed/>
    <w:qFormat/>
    <w:rsid w:val="00cc781a"/>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Titlu5Caracter"/>
    <w:uiPriority w:val="9"/>
    <w:semiHidden/>
    <w:unhideWhenUsed/>
    <w:qFormat/>
    <w:rsid w:val="00cc781a"/>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Titlu6Caracter"/>
    <w:uiPriority w:val="9"/>
    <w:semiHidden/>
    <w:unhideWhenUsed/>
    <w:qFormat/>
    <w:rsid w:val="00cc781a"/>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Titlu7Caracter"/>
    <w:uiPriority w:val="9"/>
    <w:semiHidden/>
    <w:unhideWhenUsed/>
    <w:qFormat/>
    <w:rsid w:val="00cc781a"/>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Titlu8Caracter"/>
    <w:uiPriority w:val="9"/>
    <w:semiHidden/>
    <w:unhideWhenUsed/>
    <w:qFormat/>
    <w:rsid w:val="00cc781a"/>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Titlu9Caracter"/>
    <w:uiPriority w:val="9"/>
    <w:semiHidden/>
    <w:unhideWhenUsed/>
    <w:qFormat/>
    <w:rsid w:val="00cc781a"/>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Titlu1Caracter" w:customStyle="1">
    <w:name w:val="Titlu 1 Caracter"/>
    <w:basedOn w:val="DefaultParagraphFont"/>
    <w:link w:val="Heading1"/>
    <w:uiPriority w:val="9"/>
    <w:qFormat/>
    <w:rsid w:val="00cc781a"/>
    <w:rPr>
      <w:rFonts w:ascii="Aptos Display" w:hAnsi="Aptos Display" w:eastAsia="" w:cs="" w:asciiTheme="majorHAnsi" w:cstheme="majorBidi" w:eastAsiaTheme="majorEastAsia" w:hAnsiTheme="majorHAnsi"/>
      <w:color w:themeColor="accent1" w:themeShade="bf" w:val="0F4761"/>
      <w:sz w:val="40"/>
      <w:szCs w:val="40"/>
    </w:rPr>
  </w:style>
  <w:style w:type="character" w:styleId="Titlu2Caracter" w:customStyle="1">
    <w:name w:val="Titlu 2 Caracter"/>
    <w:basedOn w:val="DefaultParagraphFont"/>
    <w:link w:val="Heading2"/>
    <w:uiPriority w:val="9"/>
    <w:semiHidden/>
    <w:qFormat/>
    <w:rsid w:val="00cc781a"/>
    <w:rPr>
      <w:rFonts w:ascii="Aptos Display" w:hAnsi="Aptos Display" w:eastAsia="" w:cs="" w:asciiTheme="majorHAnsi" w:cstheme="majorBidi" w:eastAsiaTheme="majorEastAsia" w:hAnsiTheme="majorHAnsi"/>
      <w:color w:themeColor="accent1" w:themeShade="bf" w:val="0F4761"/>
      <w:sz w:val="32"/>
      <w:szCs w:val="32"/>
    </w:rPr>
  </w:style>
  <w:style w:type="character" w:styleId="Titlu3Caracter" w:customStyle="1">
    <w:name w:val="Titlu 3 Caracter"/>
    <w:basedOn w:val="DefaultParagraphFont"/>
    <w:link w:val="Heading3"/>
    <w:uiPriority w:val="9"/>
    <w:semiHidden/>
    <w:qFormat/>
    <w:rsid w:val="00cc781a"/>
    <w:rPr>
      <w:rFonts w:eastAsia="" w:cs="" w:cstheme="majorBidi" w:eastAsiaTheme="majorEastAsia"/>
      <w:color w:themeColor="accent1" w:themeShade="bf" w:val="0F4761"/>
      <w:sz w:val="28"/>
      <w:szCs w:val="28"/>
    </w:rPr>
  </w:style>
  <w:style w:type="character" w:styleId="Titlu4Caracter" w:customStyle="1">
    <w:name w:val="Titlu 4 Caracter"/>
    <w:basedOn w:val="DefaultParagraphFont"/>
    <w:link w:val="Heading4"/>
    <w:uiPriority w:val="9"/>
    <w:semiHidden/>
    <w:qFormat/>
    <w:rsid w:val="00cc781a"/>
    <w:rPr>
      <w:rFonts w:eastAsia="" w:cs="" w:cstheme="majorBidi" w:eastAsiaTheme="majorEastAsia"/>
      <w:i/>
      <w:iCs/>
      <w:color w:themeColor="accent1" w:themeShade="bf" w:val="0F4761"/>
    </w:rPr>
  </w:style>
  <w:style w:type="character" w:styleId="Titlu5Caracter" w:customStyle="1">
    <w:name w:val="Titlu 5 Caracter"/>
    <w:basedOn w:val="DefaultParagraphFont"/>
    <w:link w:val="Heading5"/>
    <w:uiPriority w:val="9"/>
    <w:semiHidden/>
    <w:qFormat/>
    <w:rsid w:val="00cc781a"/>
    <w:rPr>
      <w:rFonts w:eastAsia="" w:cs="" w:cstheme="majorBidi" w:eastAsiaTheme="majorEastAsia"/>
      <w:color w:themeColor="accent1" w:themeShade="bf" w:val="0F4761"/>
    </w:rPr>
  </w:style>
  <w:style w:type="character" w:styleId="Titlu6Caracter" w:customStyle="1">
    <w:name w:val="Titlu 6 Caracter"/>
    <w:basedOn w:val="DefaultParagraphFont"/>
    <w:link w:val="Heading6"/>
    <w:uiPriority w:val="9"/>
    <w:semiHidden/>
    <w:qFormat/>
    <w:rsid w:val="00cc781a"/>
    <w:rPr>
      <w:rFonts w:eastAsia="" w:cs="" w:cstheme="majorBidi" w:eastAsiaTheme="majorEastAsia"/>
      <w:i/>
      <w:iCs/>
      <w:color w:themeColor="text1" w:themeTint="a6" w:val="595959"/>
    </w:rPr>
  </w:style>
  <w:style w:type="character" w:styleId="Titlu7Caracter" w:customStyle="1">
    <w:name w:val="Titlu 7 Caracter"/>
    <w:basedOn w:val="DefaultParagraphFont"/>
    <w:link w:val="Heading7"/>
    <w:uiPriority w:val="9"/>
    <w:semiHidden/>
    <w:qFormat/>
    <w:rsid w:val="00cc781a"/>
    <w:rPr>
      <w:rFonts w:eastAsia="" w:cs="" w:cstheme="majorBidi" w:eastAsiaTheme="majorEastAsia"/>
      <w:color w:themeColor="text1" w:themeTint="a6" w:val="595959"/>
    </w:rPr>
  </w:style>
  <w:style w:type="character" w:styleId="Titlu8Caracter" w:customStyle="1">
    <w:name w:val="Titlu 8 Caracter"/>
    <w:basedOn w:val="DefaultParagraphFont"/>
    <w:link w:val="Heading8"/>
    <w:uiPriority w:val="9"/>
    <w:semiHidden/>
    <w:qFormat/>
    <w:rsid w:val="00cc781a"/>
    <w:rPr>
      <w:rFonts w:eastAsia="" w:cs="" w:cstheme="majorBidi" w:eastAsiaTheme="majorEastAsia"/>
      <w:i/>
      <w:iCs/>
      <w:color w:themeColor="text1" w:themeTint="d8" w:val="272727"/>
    </w:rPr>
  </w:style>
  <w:style w:type="character" w:styleId="Titlu9Caracter" w:customStyle="1">
    <w:name w:val="Titlu 9 Caracter"/>
    <w:basedOn w:val="DefaultParagraphFont"/>
    <w:link w:val="Heading9"/>
    <w:uiPriority w:val="9"/>
    <w:semiHidden/>
    <w:qFormat/>
    <w:rsid w:val="00cc781a"/>
    <w:rPr>
      <w:rFonts w:eastAsia="" w:cs="" w:cstheme="majorBidi" w:eastAsiaTheme="majorEastAsia"/>
      <w:color w:themeColor="text1" w:themeTint="d8" w:val="272727"/>
    </w:rPr>
  </w:style>
  <w:style w:type="character" w:styleId="TitluCaracter" w:customStyle="1">
    <w:name w:val="Titlu Caracter"/>
    <w:basedOn w:val="DefaultParagraphFont"/>
    <w:link w:val="Title"/>
    <w:uiPriority w:val="10"/>
    <w:qFormat/>
    <w:rsid w:val="00cc781a"/>
    <w:rPr>
      <w:rFonts w:ascii="Aptos Display" w:hAnsi="Aptos Display" w:eastAsia="" w:cs="" w:asciiTheme="majorHAnsi" w:cstheme="majorBidi" w:eastAsiaTheme="majorEastAsia" w:hAnsiTheme="majorHAnsi"/>
      <w:spacing w:val="-10"/>
      <w:kern w:val="2"/>
      <w:sz w:val="56"/>
      <w:szCs w:val="56"/>
    </w:rPr>
  </w:style>
  <w:style w:type="character" w:styleId="SubtitluCaracter" w:customStyle="1">
    <w:name w:val="Subtitlu Caracter"/>
    <w:basedOn w:val="DefaultParagraphFont"/>
    <w:link w:val="Subtitle"/>
    <w:uiPriority w:val="11"/>
    <w:qFormat/>
    <w:rsid w:val="00cc781a"/>
    <w:rPr>
      <w:rFonts w:eastAsia="" w:cs="" w:cstheme="majorBidi" w:eastAsiaTheme="majorEastAsia"/>
      <w:color w:themeColor="text1" w:themeTint="a6" w:val="595959"/>
      <w:spacing w:val="15"/>
      <w:sz w:val="28"/>
      <w:szCs w:val="28"/>
    </w:rPr>
  </w:style>
  <w:style w:type="character" w:styleId="CitatCaracter" w:customStyle="1">
    <w:name w:val="Citat Caracter"/>
    <w:basedOn w:val="DefaultParagraphFont"/>
    <w:link w:val="Quote"/>
    <w:uiPriority w:val="29"/>
    <w:qFormat/>
    <w:rsid w:val="00cc781a"/>
    <w:rPr>
      <w:i/>
      <w:iCs/>
      <w:color w:themeColor="text1" w:themeTint="bf" w:val="404040"/>
    </w:rPr>
  </w:style>
  <w:style w:type="character" w:styleId="IntenseEmphasis">
    <w:name w:val="Intense Emphasis"/>
    <w:basedOn w:val="DefaultParagraphFont"/>
    <w:uiPriority w:val="21"/>
    <w:qFormat/>
    <w:rsid w:val="00cc781a"/>
    <w:rPr>
      <w:i/>
      <w:iCs/>
      <w:color w:themeColor="accent1" w:themeShade="bf" w:val="0F4761"/>
    </w:rPr>
  </w:style>
  <w:style w:type="character" w:styleId="CitatintensCaracter" w:customStyle="1">
    <w:name w:val="Citat intens Caracter"/>
    <w:basedOn w:val="DefaultParagraphFont"/>
    <w:link w:val="IntenseQuote"/>
    <w:uiPriority w:val="30"/>
    <w:qFormat/>
    <w:rsid w:val="00cc781a"/>
    <w:rPr>
      <w:i/>
      <w:iCs/>
      <w:color w:themeColor="accent1" w:themeShade="bf" w:val="0F4761"/>
    </w:rPr>
  </w:style>
  <w:style w:type="character" w:styleId="IntenseReference">
    <w:name w:val="Intense Reference"/>
    <w:basedOn w:val="DefaultParagraphFont"/>
    <w:uiPriority w:val="32"/>
    <w:qFormat/>
    <w:rsid w:val="00cc781a"/>
    <w:rPr>
      <w:b/>
      <w:bCs/>
      <w:smallCaps/>
      <w:color w:themeColor="accent1" w:themeShade="bf" w:val="0F4761"/>
      <w:spacing w:val="5"/>
    </w:rPr>
  </w:style>
  <w:style w:type="character" w:styleId="TextnotdesubsolCaracter" w:customStyle="1">
    <w:name w:val="Text notă de subsol Caracter"/>
    <w:basedOn w:val="DefaultParagraphFont"/>
    <w:link w:val="FootnoteText"/>
    <w:uiPriority w:val="99"/>
    <w:semiHidden/>
    <w:qFormat/>
    <w:rsid w:val="00d12bc3"/>
    <w:rPr>
      <w:rFonts w:ascii="Calibri" w:hAnsi="Calibri" w:eastAsia="Calibri" w:cs="Times New Roman"/>
      <w:kern w:val="0"/>
      <w:sz w:val="20"/>
      <w:szCs w:val="20"/>
      <w:lang w:val="ro-RO"/>
    </w:rPr>
  </w:style>
  <w:style w:type="character" w:styleId="FootnoteCharacters">
    <w:name w:val="Footnote Characters"/>
    <w:uiPriority w:val="99"/>
    <w:semiHidden/>
    <w:unhideWhenUsed/>
    <w:qFormat/>
    <w:rsid w:val="00d12bc3"/>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996ba6"/>
    <w:rPr>
      <w:color w:themeColor="hyperlink" w:val="467886"/>
      <w:u w:val="single"/>
    </w:rPr>
  </w:style>
  <w:style w:type="character" w:styleId="UnresolvedMention1" w:customStyle="1">
    <w:name w:val="Unresolved Mention1"/>
    <w:basedOn w:val="DefaultParagraphFont"/>
    <w:uiPriority w:val="99"/>
    <w:semiHidden/>
    <w:unhideWhenUsed/>
    <w:qFormat/>
    <w:rsid w:val="00996ba6"/>
    <w:rPr>
      <w:color w:val="605E5C"/>
      <w:shd w:fill="E1DFDD" w:val="clear"/>
    </w:rPr>
  </w:style>
  <w:style w:type="character" w:styleId="TextnBalonCaracter" w:customStyle="1">
    <w:name w:val="Text în Balon Caracter"/>
    <w:basedOn w:val="DefaultParagraphFont"/>
    <w:link w:val="BalloonText"/>
    <w:uiPriority w:val="99"/>
    <w:semiHidden/>
    <w:qFormat/>
    <w:rsid w:val="002c22aa"/>
    <w:rPr>
      <w:rFonts w:ascii="Tahoma" w:hAnsi="Tahoma" w:cs="Tahoma"/>
      <w:sz w:val="16"/>
      <w:szCs w:val="16"/>
      <w:lang w:val="ro-RO"/>
    </w:rPr>
  </w:style>
  <w:style w:type="character" w:styleId="TextcomentariuCaracter" w:customStyle="1">
    <w:name w:val="Text comentariu Caracter"/>
    <w:basedOn w:val="DefaultParagraphFont"/>
    <w:link w:val="AnnotationText"/>
    <w:uiPriority w:val="99"/>
    <w:qFormat/>
    <w:rsid w:val="0086570a"/>
    <w:rPr>
      <w:sz w:val="20"/>
      <w:szCs w:val="20"/>
      <w:lang w:val="ro-RO"/>
    </w:rPr>
  </w:style>
  <w:style w:type="character" w:styleId="annotationreference">
    <w:name w:val="annotation reference"/>
    <w:basedOn w:val="DefaultParagraphFont"/>
    <w:uiPriority w:val="99"/>
    <w:semiHidden/>
    <w:unhideWhenUsed/>
    <w:qFormat/>
    <w:rsid w:val="00ac5018"/>
    <w:rPr>
      <w:sz w:val="16"/>
      <w:szCs w:val="16"/>
    </w:rPr>
  </w:style>
  <w:style w:type="character" w:styleId="FollowedHyperlink">
    <w:name w:val="FollowedHyperlink"/>
    <w:basedOn w:val="DefaultParagraphFont"/>
    <w:uiPriority w:val="99"/>
    <w:semiHidden/>
    <w:unhideWhenUsed/>
    <w:rsid w:val="00c82753"/>
    <w:rPr>
      <w:color w:themeColor="followedHyperlink" w:val="96607D"/>
      <w:u w:val="single"/>
    </w:rPr>
  </w:style>
  <w:style w:type="character" w:styleId="PlaceholderText">
    <w:name w:val="Placeholder Text"/>
    <w:basedOn w:val="DefaultParagraphFont"/>
    <w:uiPriority w:val="99"/>
    <w:semiHidden/>
    <w:qFormat/>
    <w:rsid w:val="000553e8"/>
    <w:rPr>
      <w:color w:val="666666"/>
    </w:rPr>
  </w:style>
  <w:style w:type="character" w:styleId="EndnoteCharacters">
    <w:name w:val="Endnote Characters"/>
    <w:qFormat/>
    <w:rPr>
      <w:vertAlign w:val="superscript"/>
    </w:rPr>
  </w:style>
  <w:style w:type="character" w:styleId="EndnoteReference">
    <w:name w:val="Endnote Reference"/>
    <w:rPr>
      <w:vertAlign w:val="superscript"/>
    </w:rPr>
  </w:style>
  <w:style w:type="character" w:styleId="NumberingSymbols">
    <w:name w:val="Numbering Symbols"/>
    <w:qFormat/>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Title">
    <w:name w:val="Title"/>
    <w:basedOn w:val="Normal"/>
    <w:next w:val="Normal"/>
    <w:link w:val="TitluCaracter"/>
    <w:uiPriority w:val="10"/>
    <w:qFormat/>
    <w:rsid w:val="00cc781a"/>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uCaracter"/>
    <w:uiPriority w:val="11"/>
    <w:qFormat/>
    <w:rsid w:val="00cc781a"/>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tCaracter"/>
    <w:uiPriority w:val="29"/>
    <w:qFormat/>
    <w:rsid w:val="00cc781a"/>
    <w:pPr>
      <w:spacing w:before="160" w:after="160"/>
      <w:jc w:val="center"/>
    </w:pPr>
    <w:rPr>
      <w:i/>
      <w:iCs/>
      <w:color w:themeColor="text1" w:themeTint="bf" w:val="404040"/>
    </w:rPr>
  </w:style>
  <w:style w:type="paragraph" w:styleId="ListParagraph">
    <w:name w:val="List Paragraph"/>
    <w:basedOn w:val="Normal"/>
    <w:uiPriority w:val="34"/>
    <w:qFormat/>
    <w:rsid w:val="00cc781a"/>
    <w:pPr>
      <w:spacing w:before="0" w:after="160"/>
      <w:ind w:left="720"/>
      <w:contextualSpacing/>
    </w:pPr>
    <w:rPr/>
  </w:style>
  <w:style w:type="paragraph" w:styleId="IntenseQuote">
    <w:name w:val="Intense Quote"/>
    <w:basedOn w:val="Normal"/>
    <w:next w:val="Normal"/>
    <w:link w:val="CitatintensCaracte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rPr>
  </w:style>
  <w:style w:type="paragraph" w:styleId="FootnoteText">
    <w:name w:val="Footnote Text"/>
    <w:basedOn w:val="Normal"/>
    <w:link w:val="TextnotdesubsolCaracter"/>
    <w:uiPriority w:val="99"/>
    <w:semiHidden/>
    <w:unhideWhenUsed/>
    <w:rsid w:val="00d12bc3"/>
    <w:pPr>
      <w:spacing w:lineRule="auto" w:line="276" w:before="0" w:after="200"/>
    </w:pPr>
    <w:rPr>
      <w:rFonts w:ascii="Calibri" w:hAnsi="Calibri" w:eastAsia="Calibri" w:cs="Times New Roman"/>
      <w:kern w:val="0"/>
      <w:sz w:val="20"/>
      <w:szCs w:val="20"/>
    </w:rPr>
  </w:style>
  <w:style w:type="paragraph" w:styleId="BalloonText">
    <w:name w:val="Balloon Text"/>
    <w:basedOn w:val="Normal"/>
    <w:link w:val="TextnBalonCaracter"/>
    <w:uiPriority w:val="99"/>
    <w:semiHidden/>
    <w:unhideWhenUsed/>
    <w:qFormat/>
    <w:rsid w:val="002c22aa"/>
    <w:pPr>
      <w:spacing w:lineRule="auto" w:line="240" w:before="0" w:after="0"/>
    </w:pPr>
    <w:rPr>
      <w:rFonts w:ascii="Tahoma" w:hAnsi="Tahoma" w:cs="Tahoma"/>
      <w:sz w:val="16"/>
      <w:szCs w:val="16"/>
    </w:rPr>
  </w:style>
  <w:style w:type="paragraph" w:styleId="AnnotationText">
    <w:name w:val="Annotation Text"/>
    <w:basedOn w:val="Normal"/>
    <w:link w:val="TextcomentariuCaracter"/>
    <w:uiPriority w:val="99"/>
    <w:unhideWhenUsed/>
    <w:rsid w:val="0086570a"/>
    <w:pPr>
      <w:spacing w:lineRule="auto" w:line="240"/>
    </w:pPr>
    <w:rPr>
      <w:sz w:val="20"/>
      <w:szCs w:val="20"/>
    </w:rPr>
  </w:style>
  <w:style w:type="paragraph" w:styleId="FrameContents">
    <w:name w:val="Frame Contents"/>
    <w:basedOn w:val="Normal"/>
    <w:qFormat/>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elNormal">
    <w:name w:val="Normal Table"/>
    <w:uiPriority w:val="99"/>
    <w:semiHidden/>
    <w:unhideWhenUsed/>
    <w:tblPr>
      <w:tblCellMar>
        <w:top w:w="0" w:type="dxa"/>
        <w:left w:w="108" w:type="dxa"/>
        <w:bottom w:w="0" w:type="dxa"/>
        <w:right w:w="108" w:type="dxa"/>
      </w:tblCellMar>
    </w:tblPr>
  </w:style>
  <w:style w:type="table" w:styleId="Tabelgril">
    <w:name w:val="Table Grid"/>
    <w:basedOn w:val="TabelNormal"/>
    <w:uiPriority w:val="99"/>
    <w:rsid w:val="001253aa"/>
    <w:pPr>
      <w:spacing w:after="0" w:line="240" w:lineRule="auto"/>
    </w:pPr>
    <w:rPr>
      <w:lang w:val="ro-RO" w:eastAsia="ro-RO"/>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control" Target="activeX/activeX1.xml"/><Relationship Id="rId4" Type="http://schemas.openxmlformats.org/officeDocument/2006/relationships/image" Target="media/image2.png"/><Relationship Id="rId5" Type="http://schemas.openxmlformats.org/officeDocument/2006/relationships/image" Target="media/image3.png"/><Relationship Id="rId6" Type="http://schemas.openxmlformats.org/officeDocument/2006/relationships/image" Target="media/image4.png"/><Relationship Id="rId7" Type="http://schemas.openxmlformats.org/officeDocument/2006/relationships/image" Target="media/image5.png"/><Relationship Id="rId8" Type="http://schemas.openxmlformats.org/officeDocument/2006/relationships/image" Target="media/image6.png"/><Relationship Id="rId9" Type="http://schemas.openxmlformats.org/officeDocument/2006/relationships/image" Target="media/image7.png"/><Relationship Id="rId10" Type="http://schemas.openxmlformats.org/officeDocument/2006/relationships/image" Target="media/image8.png"/><Relationship Id="rId11" Type="http://schemas.openxmlformats.org/officeDocument/2006/relationships/image" Target="media/image9.png"/><Relationship Id="rId12" Type="http://schemas.openxmlformats.org/officeDocument/2006/relationships/image" Target="media/image10.png"/><Relationship Id="rId13" Type="http://schemas.openxmlformats.org/officeDocument/2006/relationships/control" Target="activeX/activeX2.xml"/><Relationship Id="rId14" Type="http://schemas.openxmlformats.org/officeDocument/2006/relationships/control" Target="activeX/activeX3.xml"/><Relationship Id="rId15" Type="http://schemas.openxmlformats.org/officeDocument/2006/relationships/control" Target="activeX/activeX4.xml"/><Relationship Id="rId16" Type="http://schemas.openxmlformats.org/officeDocument/2006/relationships/control" Target="activeX/activeX5.xml"/><Relationship Id="rId17" Type="http://schemas.openxmlformats.org/officeDocument/2006/relationships/control" Target="activeX/activeX6.xml"/><Relationship Id="rId18" Type="http://schemas.openxmlformats.org/officeDocument/2006/relationships/control" Target="activeX/activeX7.xml"/><Relationship Id="rId19" Type="http://schemas.openxmlformats.org/officeDocument/2006/relationships/control" Target="activeX/activeX8.xml"/><Relationship Id="rId20" Type="http://schemas.openxmlformats.org/officeDocument/2006/relationships/control" Target="activeX/activeX9.xml"/><Relationship Id="rId21" Type="http://schemas.openxmlformats.org/officeDocument/2006/relationships/control" Target="activeX/activeX10.xml"/><Relationship Id="rId22" Type="http://schemas.openxmlformats.org/officeDocument/2006/relationships/image" Target="media/image11.png"/><Relationship Id="rId23" Type="http://schemas.openxmlformats.org/officeDocument/2006/relationships/image" Target="media/image12.png"/><Relationship Id="rId24" Type="http://schemas.openxmlformats.org/officeDocument/2006/relationships/image" Target="media/image13.png"/><Relationship Id="rId25" Type="http://schemas.openxmlformats.org/officeDocument/2006/relationships/image" Target="media/image14.png"/><Relationship Id="rId26" Type="http://schemas.openxmlformats.org/officeDocument/2006/relationships/image" Target="media/image15.png"/><Relationship Id="rId27" Type="http://schemas.openxmlformats.org/officeDocument/2006/relationships/image" Target="media/image16.png"/><Relationship Id="rId28" Type="http://schemas.openxmlformats.org/officeDocument/2006/relationships/image" Target="media/image17.png"/><Relationship Id="rId29" Type="http://schemas.openxmlformats.org/officeDocument/2006/relationships/image" Target="media/image18.png"/><Relationship Id="rId30" Type="http://schemas.openxmlformats.org/officeDocument/2006/relationships/control" Target="activeX/activeX11.xml"/><Relationship Id="rId31" Type="http://schemas.openxmlformats.org/officeDocument/2006/relationships/control" Target="activeX/activeX12.xml"/><Relationship Id="rId32" Type="http://schemas.openxmlformats.org/officeDocument/2006/relationships/control" Target="activeX/activeX13.xml"/><Relationship Id="rId33" Type="http://schemas.openxmlformats.org/officeDocument/2006/relationships/control" Target="activeX/activeX14.xml"/><Relationship Id="rId34" Type="http://schemas.openxmlformats.org/officeDocument/2006/relationships/control" Target="activeX/activeX15.xml"/><Relationship Id="rId35" Type="http://schemas.openxmlformats.org/officeDocument/2006/relationships/control" Target="activeX/activeX16.xml"/><Relationship Id="rId36" Type="http://schemas.openxmlformats.org/officeDocument/2006/relationships/control" Target="activeX/activeX17.xml"/><Relationship Id="rId37" Type="http://schemas.openxmlformats.org/officeDocument/2006/relationships/control" Target="activeX/activeX18.xml"/><Relationship Id="rId38" Type="http://schemas.openxmlformats.org/officeDocument/2006/relationships/control" Target="activeX/activeX19.xml"/><Relationship Id="rId39" Type="http://schemas.openxmlformats.org/officeDocument/2006/relationships/image" Target="media/image19.png"/><Relationship Id="rId40" Type="http://schemas.openxmlformats.org/officeDocument/2006/relationships/image" Target="media/image19.png"/><Relationship Id="rId41" Type="http://schemas.openxmlformats.org/officeDocument/2006/relationships/image" Target="media/image20.png"/><Relationship Id="rId42" Type="http://schemas.openxmlformats.org/officeDocument/2006/relationships/footnotes" Target="footnotes.xml"/><Relationship Id="rId43" Type="http://schemas.openxmlformats.org/officeDocument/2006/relationships/numbering" Target="numbering.xml"/><Relationship Id="rId44" Type="http://schemas.openxmlformats.org/officeDocument/2006/relationships/fontTable" Target="fontTable.xml"/><Relationship Id="rId45" Type="http://schemas.openxmlformats.org/officeDocument/2006/relationships/settings" Target="settings.xml"/><Relationship Id="rId46" Type="http://schemas.openxmlformats.org/officeDocument/2006/relationships/theme" Target="theme/theme1.xml"/><Relationship Id="rId47" Type="http://schemas.openxmlformats.org/officeDocument/2006/relationships/glossaryDocument" Target="glossary/document.xml"/><Relationship Id="rId48" Type="http://schemas.openxmlformats.org/officeDocument/2006/relationships/customXml" Target="../customXml/item1.xml"/><Relationship Id="rId49" Type="http://schemas.openxmlformats.org/officeDocument/2006/relationships/customXml" Target="../customXml/item2.xml"/><Relationship Id="rId50" Type="http://schemas.openxmlformats.org/officeDocument/2006/relationships/customXml" Target="../customXml/item3.xml"/><Relationship Id="rId51" Type="http://schemas.openxmlformats.org/officeDocument/2006/relationships/customXml" Target="../customXml/item4.xml"/>
</Relationships>
</file>

<file path=word/_rels/footnotes.xml.rels><?xml version="1.0" encoding="UTF-8"?>
<Relationships xmlns="http://schemas.openxmlformats.org/package/2006/relationships"><Relationship Id="rId1" Type="http://schemas.openxmlformats.org/officeDocument/2006/relationships/hyperlink" Target="https://green.ubbcluj.ro/procedura-de-aplicare-a-etichetelor-odd/" TargetMode="External"/>
</Relationships>
</file>

<file path=word/activeX/_rels/activeX1.xml.rels><?xml version="1.0" encoding="UTF-8"?>
<Relationships xmlns="http://schemas.openxmlformats.org/package/2006/relationships"><Relationship Id="rId1" Type="http://schemas.microsoft.com/office/2006/relationships/activeXControlBinary" Target="activeX1.bin"/>
</Relationships>
</file>

<file path=word/activeX/_rels/activeX10.xml.rels><?xml version="1.0" encoding="UTF-8"?>
<Relationships xmlns="http://schemas.openxmlformats.org/package/2006/relationships"><Relationship Id="rId1" Type="http://schemas.microsoft.com/office/2006/relationships/activeXControlBinary" Target="activeX10.bin"/>
</Relationships>
</file>

<file path=word/activeX/_rels/activeX11.xml.rels><?xml version="1.0" encoding="UTF-8"?>
<Relationships xmlns="http://schemas.openxmlformats.org/package/2006/relationships"><Relationship Id="rId1" Type="http://schemas.microsoft.com/office/2006/relationships/activeXControlBinary" Target="activeX11.bin"/>
</Relationships>
</file>

<file path=word/activeX/_rels/activeX12.xml.rels><?xml version="1.0" encoding="UTF-8"?>
<Relationships xmlns="http://schemas.openxmlformats.org/package/2006/relationships"><Relationship Id="rId1" Type="http://schemas.microsoft.com/office/2006/relationships/activeXControlBinary" Target="activeX12.bin"/>
</Relationships>
</file>

<file path=word/activeX/_rels/activeX13.xml.rels><?xml version="1.0" encoding="UTF-8"?>
<Relationships xmlns="http://schemas.openxmlformats.org/package/2006/relationships"><Relationship Id="rId1" Type="http://schemas.microsoft.com/office/2006/relationships/activeXControlBinary" Target="activeX13.bin"/>
</Relationships>
</file>

<file path=word/activeX/_rels/activeX14.xml.rels><?xml version="1.0" encoding="UTF-8"?>
<Relationships xmlns="http://schemas.openxmlformats.org/package/2006/relationships"><Relationship Id="rId1" Type="http://schemas.microsoft.com/office/2006/relationships/activeXControlBinary" Target="activeX14.bin"/>
</Relationships>
</file>

<file path=word/activeX/_rels/activeX15.xml.rels><?xml version="1.0" encoding="UTF-8"?>
<Relationships xmlns="http://schemas.openxmlformats.org/package/2006/relationships"><Relationship Id="rId1" Type="http://schemas.microsoft.com/office/2006/relationships/activeXControlBinary" Target="activeX15.bin"/>
</Relationships>
</file>

<file path=word/activeX/_rels/activeX16.xml.rels><?xml version="1.0" encoding="UTF-8"?>
<Relationships xmlns="http://schemas.openxmlformats.org/package/2006/relationships"><Relationship Id="rId1" Type="http://schemas.microsoft.com/office/2006/relationships/activeXControlBinary" Target="activeX16.bin"/>
</Relationships>
</file>

<file path=word/activeX/_rels/activeX17.xml.rels><?xml version="1.0" encoding="UTF-8"?>
<Relationships xmlns="http://schemas.openxmlformats.org/package/2006/relationships"><Relationship Id="rId1" Type="http://schemas.microsoft.com/office/2006/relationships/activeXControlBinary" Target="activeX17.bin"/>
</Relationships>
</file>

<file path=word/activeX/_rels/activeX18.xml.rels><?xml version="1.0" encoding="UTF-8"?>
<Relationships xmlns="http://schemas.openxmlformats.org/package/2006/relationships"><Relationship Id="rId1" Type="http://schemas.microsoft.com/office/2006/relationships/activeXControlBinary" Target="activeX18.bin"/>
</Relationships>
</file>

<file path=word/activeX/_rels/activeX19.xml.rels><?xml version="1.0" encoding="UTF-8"?>
<Relationships xmlns="http://schemas.openxmlformats.org/package/2006/relationships"><Relationship Id="rId1" Type="http://schemas.microsoft.com/office/2006/relationships/activeXControlBinary" Target="activeX19.bin"/>
</Relationships>
</file>

<file path=word/activeX/_rels/activeX2.xml.rels><?xml version="1.0" encoding="UTF-8"?>
<Relationships xmlns="http://schemas.openxmlformats.org/package/2006/relationships"><Relationship Id="rId1" Type="http://schemas.microsoft.com/office/2006/relationships/activeXControlBinary" Target="activeX2.bin"/>
</Relationships>
</file>

<file path=word/activeX/_rels/activeX3.xml.rels><?xml version="1.0" encoding="UTF-8"?>
<Relationships xmlns="http://schemas.openxmlformats.org/package/2006/relationships"><Relationship Id="rId1" Type="http://schemas.microsoft.com/office/2006/relationships/activeXControlBinary" Target="activeX3.bin"/>
</Relationships>
</file>

<file path=word/activeX/_rels/activeX4.xml.rels><?xml version="1.0" encoding="UTF-8"?>
<Relationships xmlns="http://schemas.openxmlformats.org/package/2006/relationships"><Relationship Id="rId1" Type="http://schemas.microsoft.com/office/2006/relationships/activeXControlBinary" Target="activeX4.bin"/>
</Relationships>
</file>

<file path=word/activeX/_rels/activeX5.xml.rels><?xml version="1.0" encoding="UTF-8"?>
<Relationships xmlns="http://schemas.openxmlformats.org/package/2006/relationships"><Relationship Id="rId1" Type="http://schemas.microsoft.com/office/2006/relationships/activeXControlBinary" Target="activeX5.bin"/>
</Relationships>
</file>

<file path=word/activeX/_rels/activeX6.xml.rels><?xml version="1.0" encoding="UTF-8"?>
<Relationships xmlns="http://schemas.openxmlformats.org/package/2006/relationships"><Relationship Id="rId1" Type="http://schemas.microsoft.com/office/2006/relationships/activeXControlBinary" Target="activeX6.bin"/>
</Relationships>
</file>

<file path=word/activeX/_rels/activeX7.xml.rels><?xml version="1.0" encoding="UTF-8"?>
<Relationships xmlns="http://schemas.openxmlformats.org/package/2006/relationships"><Relationship Id="rId1" Type="http://schemas.microsoft.com/office/2006/relationships/activeXControlBinary" Target="activeX7.bin"/>
</Relationships>
</file>

<file path=word/activeX/_rels/activeX8.xml.rels><?xml version="1.0" encoding="UTF-8"?>
<Relationships xmlns="http://schemas.openxmlformats.org/package/2006/relationships"><Relationship Id="rId1" Type="http://schemas.microsoft.com/office/2006/relationships/activeXControlBinary" Target="activeX8.bin"/>
</Relationships>
</file>

<file path=word/activeX/_rels/activeX9.xml.rels><?xml version="1.0" encoding="UTF-8"?>
<Relationships xmlns="http://schemas.openxmlformats.org/package/2006/relationships"><Relationship Id="rId1" Type="http://schemas.microsoft.com/office/2006/relationships/activeXControlBinary" Target="activeX9.bin"/>
</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Textsubstituen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Textsubstituen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Textsubstituen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D63B5"/>
    <w:rsid w:val="003F5C13"/>
    <w:rsid w:val="00547DE3"/>
    <w:rsid w:val="006168F2"/>
    <w:rsid w:val="00695264"/>
    <w:rsid w:val="006A5360"/>
    <w:rsid w:val="006A7A5A"/>
    <w:rsid w:val="00795F44"/>
    <w:rsid w:val="00903FED"/>
    <w:rsid w:val="00A365C9"/>
    <w:rsid w:val="00B54211"/>
    <w:rsid w:val="00BF5D62"/>
    <w:rsid w:val="00C344D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Textsubstituent">
    <w:name w:val="Placeholder Text"/>
    <w:basedOn w:val="Fontdeparagrafimplici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r="http://schemas.openxmlformats.org/officeDocument/2006/relationships" name="Temă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itchFamily="0" charset="1"/>
        <a:ea typeface=""/>
        <a:cs typeface=""/>
      </a:majorFont>
      <a:minorFont>
        <a:latin typeface="Aptos"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489CC73F854BA3019D456F54AC3E" ma:contentTypeVersion="17" ma:contentTypeDescription="Create a new document." ma:contentTypeScope="" ma:versionID="740cf9a7c01b29ba28e22939513690eb">
  <xsd:schema xmlns:xsd="http://www.w3.org/2001/XMLSchema" xmlns:xs="http://www.w3.org/2001/XMLSchema" xmlns:p="http://schemas.microsoft.com/office/2006/metadata/properties" xmlns:ns2="6d51cfe6-1a4b-44b8-ae94-033e21c21aad" xmlns:ns3="6ada5c2b-2e54-4f0e-b9bc-0e4530f93cda" targetNamespace="http://schemas.microsoft.com/office/2006/metadata/properties" ma:root="true" ma:fieldsID="050df7a633d6441fbab708c3e3976b91" ns2:_="" ns3:_="">
    <xsd:import namespace="6d51cfe6-1a4b-44b8-ae94-033e21c21aad"/>
    <xsd:import namespace="6ada5c2b-2e54-4f0e-b9bc-0e4530f93cda"/>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51cfe6-1a4b-44b8-ae94-033e21c21a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da5c2b-2e54-4f0e-b9bc-0e4530f93cd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347980d-28b4-49b7-b34b-dab1aee0e1eb}" ma:internalName="TaxCatchAll" ma:showField="CatchAllData" ma:web="6ada5c2b-2e54-4f0e-b9bc-0e4530f93c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d51cfe6-1a4b-44b8-ae94-033e21c21aad">
      <Terms xmlns="http://schemas.microsoft.com/office/infopath/2007/PartnerControls"/>
    </lcf76f155ced4ddcb4097134ff3c332f>
    <TaxCatchAll xmlns="6ada5c2b-2e54-4f0e-b9bc-0e4530f93c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DEF9A-4EE2-4432-B13B-C0FACB6E9C77}"/>
</file>

<file path=customXml/itemProps2.xml><?xml version="1.0" encoding="utf-8"?>
<ds:datastoreItem xmlns:ds="http://schemas.openxmlformats.org/officeDocument/2006/customXml" ds:itemID="{9CB7752A-A4D3-4227-8512-24CF6F6278FB}"/>
</file>

<file path=customXml/itemProps3.xml><?xml version="1.0" encoding="utf-8"?>
<ds:datastoreItem xmlns:ds="http://schemas.openxmlformats.org/officeDocument/2006/customXml" ds:itemID="{528E1B69-1DB5-49EE-A806-6B7D23F355B6}"/>
</file>

<file path=customXml/itemProps4.xml><?xml version="1.0" encoding="utf-8"?>
<ds:datastoreItem xmlns:ds="http://schemas.openxmlformats.org/officeDocument/2006/customXml" ds:itemID="{CFFE65BF-944F-452D-BA84-BA2A82E4F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Application>LibreOffice/24.2.7.2$Windows_X86_64 LibreOffice_project/ee3885777aa7032db5a9b65deec9457448a91162</Application>
  <AppVersion>15.0000</AppVersion>
  <Pages>5</Pages>
  <Words>1606</Words>
  <Characters>10926</Characters>
  <CharactersWithSpaces>12526</CharactersWithSpaces>
  <Paragraphs>289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2025-10-27T11:44:00Z</dcterms:created>
  <dc:creator>Patricia-Georgiana Rechisan</dc:creator>
  <dc:description/>
  <dc:language>hu-HU</dc:language>
  <cp:lastModifiedBy/>
  <cp:lastPrinted>2026-04-22T17:32:00Z</cp:lastPrinted>
  <dcterms:modified xsi:type="dcterms:W3CDTF">2026-04-23T20:13:28Z</dcterms:modified>
  <cp:revision>64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0x01010043E8489CC73F854BA3019D456F54AC3E</vt:lpwstr>
  </property>
</Properties>
</file>