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9.png" ContentType="image/png"/>
  <Override PartName="/word/media/image10.png" ContentType="image/png"/>
  <Override PartName="/word/media/image11.png" ContentType="image/png"/>
  <Override PartName="/word/media/image12.png" ContentType="image/png"/>
  <Override PartName="/word/media/image13.png" ContentType="image/png"/>
  <Override PartName="/word/media/image14.png" ContentType="image/png"/>
  <Override PartName="/word/media/image15.png" ContentType="image/png"/>
  <Override PartName="/word/media/image16.png" ContentType="image/png"/>
  <Override PartName="/word/media/image17.png" ContentType="image/png"/>
  <Override PartName="/word/media/image18.png" ContentType="image/png"/>
  <Override PartName="/word/media/image19.png" ContentType="image/png"/>
  <Override PartName="/word/media/image20.png" ContentType="image/png"/>
  <Override PartName="/word/footnotes.xml" ContentType="application/vnd.openxmlformats-officedocument.wordprocessingml.footnotes+xml"/>
  <Override PartName="/word/activeX/activeX9.xml" ContentType="application/vnd.ms-office.activeX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xml" ContentType="application/vnd.ms-office.activeX+xml"/>
  <Override PartName="/word/activeX/activeX4.bin" ContentType="application/vnd.ms-office.activeX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_rels/activeX1.xml.rels" ContentType="application/vnd.openxmlformats-package.relationships+xml"/>
  <Override PartName="/word/activeX/_rels/activeX9.xml.rels" ContentType="application/vnd.openxmlformats-package.relationships+xml"/>
  <Override PartName="/word/activeX/_rels/activeX2.xml.rels" ContentType="application/vnd.openxmlformats-package.relationships+xml"/>
  <Override PartName="/word/activeX/_rels/activeX3.xml.rels" ContentType="application/vnd.openxmlformats-package.relationships+xml"/>
  <Override PartName="/word/activeX/_rels/activeX4.xml.rels" ContentType="application/vnd.openxmlformats-package.relationships+xml"/>
  <Override PartName="/word/activeX/_rels/activeX5.xml.rels" ContentType="application/vnd.openxmlformats-package.relationships+xml"/>
  <Override PartName="/word/activeX/_rels/activeX6.xml.rels" ContentType="application/vnd.openxmlformats-package.relationships+xml"/>
  <Override PartName="/word/activeX/_rels/activeX7.xml.rels" ContentType="application/vnd.openxmlformats-package.relationships+xml"/>
  <Override PartName="/word/activeX/_rels/activeX8.xml.rels" ContentType="application/vnd.openxmlformats-package.relationships+xml"/>
  <Override PartName="/word/activeX/_rels/activeX18.xml.rels" ContentType="application/vnd.openxmlformats-package.relationships+xml"/>
  <Override PartName="/word/activeX/_rels/activeX10.xml.rels" ContentType="application/vnd.openxmlformats-package.relationships+xml"/>
  <Override PartName="/word/activeX/_rels/activeX19.xml.rels" ContentType="application/vnd.openxmlformats-package.relationships+xml"/>
  <Override PartName="/word/activeX/_rels/activeX11.xml.rels" ContentType="application/vnd.openxmlformats-package.relationships+xml"/>
  <Override PartName="/word/activeX/_rels/activeX12.xml.rels" ContentType="application/vnd.openxmlformats-package.relationships+xml"/>
  <Override PartName="/word/activeX/_rels/activeX13.xml.rels" ContentType="application/vnd.openxmlformats-package.relationships+xml"/>
  <Override PartName="/word/activeX/_rels/activeX14.xml.rels" ContentType="application/vnd.openxmlformats-package.relationships+xml"/>
  <Override PartName="/word/activeX/_rels/activeX15.xml.rels" ContentType="application/vnd.openxmlformats-package.relationships+xml"/>
  <Override PartName="/word/activeX/_rels/activeX16.xml.rels" ContentType="application/vnd.openxmlformats-package.relationships+xml"/>
  <Override PartName="/word/activeX/_rels/activeX17.xml.rels" ContentType="application/vnd.openxmlformats-package.relationships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10.bin" ContentType="application/vnd.ms-office.activeX"/>
  <Override PartName="/word/activeX/activeX18.xml" ContentType="application/vnd.ms-office.activeX+xml"/>
  <Override PartName="/word/activeX/activeX10.xml" ContentType="application/vnd.ms-office.activeX+xml"/>
  <Override PartName="/word/activeX/activeX11.bin" ContentType="application/vnd.ms-office.activeX"/>
  <Override PartName="/word/activeX/activeX19.xml" ContentType="application/vnd.ms-office.activeX+xml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9.bin" ContentType="application/vnd.ms-office.activeX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_rels/document.xml.rels" ContentType="application/vnd.openxmlformats-package.relationships+xml"/>
  <Override PartName="/word/_rels/footnotes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>
        <w:rPr>
          <w:rFonts w:cs="Times New Roman" w:ascii="Cambria" w:hAnsi="Cambria"/>
          <w:b/>
          <w:bCs/>
          <w:sz w:val="22"/>
          <w:szCs w:val="22"/>
          <w:lang w:val="hu-HU"/>
        </w:rPr>
        <w:t>A TANTÁRGY ADATLAPJA</w:t>
      </w:r>
    </w:p>
    <w:p>
      <w:pPr>
        <w:pStyle w:val="Normal"/>
        <w:widowControl/>
        <w:spacing w:lineRule="auto" w:line="276" w:before="0" w:after="160"/>
        <w:jc w:val="center"/>
        <w:rPr>
          <w:color w:val="000000"/>
        </w:rPr>
      </w:pPr>
      <w:r>
        <w:rPr>
          <w:rFonts w:eastAsia="Aptos" w:cs="Times New Roman" w:ascii="Cambria" w:hAnsi="Cambria"/>
          <w:i/>
          <w:iCs/>
          <w:color w:val="000000"/>
          <w:sz w:val="24"/>
          <w:szCs w:val="24"/>
          <w:lang w:val="hu-HU"/>
        </w:rPr>
        <w:t>Általános matematika</w:t>
      </w:r>
    </w:p>
    <w:p>
      <w:pPr>
        <w:pStyle w:val="Normal"/>
        <w:jc w:val="center"/>
        <w:rPr>
          <w:rFonts w:ascii="Cambria" w:hAnsi="Cambria" w:cs="Times New Roman"/>
          <w:sz w:val="22"/>
          <w:szCs w:val="22"/>
          <w:lang w:val="hu-HU"/>
        </w:rPr>
      </w:pPr>
      <w:r>
        <w:rPr>
          <w:rFonts w:cs="Times New Roman" w:ascii="Cambria" w:hAnsi="Cambria"/>
          <w:sz w:val="22"/>
          <w:szCs w:val="22"/>
          <w:lang w:val="hu-HU"/>
        </w:rPr>
        <w:t>Egyetemi tanév</w:t>
      </w:r>
      <w:r>
        <w:rPr>
          <w:rFonts w:cs="Times New Roman" w:ascii="Cambria" w:hAnsi="Cambria"/>
          <w:color w:val="FF0000"/>
          <w:sz w:val="22"/>
          <w:szCs w:val="22"/>
          <w:lang w:val="hu-HU"/>
        </w:rPr>
        <w:t xml:space="preserve"> </w:t>
      </w:r>
      <w:r>
        <w:rPr>
          <w:rFonts w:eastAsia="Aptos" w:cs="Times New Roman" w:ascii="Cambria" w:hAnsi="Cambria"/>
          <w:color w:val="000000"/>
          <w:sz w:val="24"/>
          <w:szCs w:val="24"/>
          <w:lang w:val="ro-RO"/>
        </w:rPr>
        <w:t>2</w:t>
      </w:r>
      <w:r>
        <w:rPr>
          <w:rFonts w:eastAsia="Aptos" w:cs="Times New Roman" w:ascii="Cambria" w:hAnsi="Cambria"/>
          <w:color w:val="000000"/>
          <w:sz w:val="24"/>
          <w:szCs w:val="24"/>
          <w:lang w:val="en-US"/>
        </w:rPr>
        <w:t>026-2027</w:t>
      </w:r>
    </w:p>
    <w:p>
      <w:pPr>
        <w:pStyle w:val="Normal"/>
        <w:spacing w:before="0" w:after="0"/>
        <w:rPr>
          <w:rFonts w:ascii="Cambria" w:hAnsi="Cambria"/>
          <w:color w:val="FF0000"/>
          <w:sz w:val="20"/>
          <w:szCs w:val="20"/>
          <w:lang w:val="hu-HU"/>
        </w:rPr>
      </w:pPr>
      <w:r>
        <w:rPr>
          <w:rFonts w:ascii="Cambria" w:hAnsi="Cambria"/>
          <w:color w:val="FF0000"/>
          <w:sz w:val="20"/>
          <w:szCs w:val="20"/>
          <w:lang w:val="hu-HU"/>
        </w:rPr>
      </w:r>
    </w:p>
    <w:p>
      <w:pPr>
        <w:pStyle w:val="Normal"/>
        <w:spacing w:before="0" w:after="0"/>
        <w:ind w:hanging="567" w:left="142"/>
        <w:rPr>
          <w:rFonts w:ascii="Cambria" w:hAnsi="Cambria"/>
          <w:b/>
          <w:sz w:val="20"/>
          <w:szCs w:val="20"/>
          <w:lang w:val="hu-HU"/>
        </w:rPr>
      </w:pPr>
      <w:r>
        <w:rPr>
          <w:rFonts w:ascii="Cambria" w:hAnsi="Cambria"/>
          <w:b/>
          <w:sz w:val="20"/>
          <w:szCs w:val="20"/>
          <w:lang w:val="hu-HU"/>
        </w:rPr>
        <w:t>1. A képzési program adatai</w:t>
      </w:r>
    </w:p>
    <w:tbl>
      <w:tblPr>
        <w:tblW w:w="10491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543"/>
        <w:gridCol w:w="6947"/>
      </w:tblGrid>
      <w:tr>
        <w:trPr>
          <w:trHeight w:val="284" w:hRule="atLeast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>
        <w:trPr>
          <w:trHeight w:val="284" w:hRule="atLeast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4"/>
              <w:rPr>
                <w:rFonts w:ascii="Cambria" w:hAnsi="Cambria" w:eastAsia="Times New Roman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hu-HU" w:eastAsia="zh-CN"/>
              </w:rPr>
              <w:t>Kémia és Vegyészmérnöki Kar</w:t>
            </w:r>
          </w:p>
        </w:tc>
      </w:tr>
      <w:tr>
        <w:trPr>
          <w:trHeight w:val="284" w:hRule="atLeast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hu-HU" w:eastAsia="zh-CN"/>
              </w:rPr>
              <w:t>Magyar Matematika és Informatika</w:t>
            </w:r>
          </w:p>
        </w:tc>
      </w:tr>
      <w:tr>
        <w:trPr>
          <w:trHeight w:val="284" w:hRule="atLeast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hu-HU" w:eastAsia="zh-CN"/>
              </w:rPr>
              <w:t>1.4.</w:t>
            </w:r>
            <w:r>
              <w:rPr>
                <w:rFonts w:eastAsia="Times New Roman" w:cs="Times New Roman" w:ascii="Cambria" w:hAnsi="Cambria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hu-HU" w:eastAsia="zh-CN"/>
              </w:rPr>
              <w:t>Kémia</w:t>
            </w:r>
          </w:p>
        </w:tc>
      </w:tr>
      <w:tr>
        <w:trPr>
          <w:trHeight w:val="284" w:hRule="atLeast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hu-HU" w:eastAsia="zh-CN"/>
              </w:rPr>
              <w:t>1.5.</w:t>
            </w:r>
            <w:r>
              <w:rPr>
                <w:rFonts w:eastAsia="Times New Roman" w:cs="Times New Roman" w:ascii="Cambria" w:hAnsi="Cambria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en-US" w:eastAsia="zh-CN"/>
              </w:rPr>
              <w:t>Licensz</w:t>
            </w:r>
          </w:p>
        </w:tc>
      </w:tr>
      <w:tr>
        <w:trPr>
          <w:trHeight w:val="284" w:hRule="atLeast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hu-HU" w:eastAsia="zh-CN"/>
              </w:rPr>
              <w:t>Kémia és Vegyészmérnöki</w:t>
            </w:r>
          </w:p>
        </w:tc>
      </w:tr>
      <w:tr>
        <w:trPr>
          <w:trHeight w:val="284" w:hRule="atLeast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en-US" w:eastAsia="zh-CN"/>
              </w:rPr>
              <w:t>Nappali tagozat</w:t>
            </w:r>
          </w:p>
        </w:tc>
      </w:tr>
    </w:tbl>
    <w:p>
      <w:pPr>
        <w:pStyle w:val="Normal"/>
        <w:spacing w:before="0" w:after="0"/>
        <w:ind w:hanging="567" w:left="142"/>
        <w:rPr>
          <w:rFonts w:ascii="Cambria" w:hAnsi="Cambria"/>
          <w:b/>
          <w:sz w:val="20"/>
          <w:szCs w:val="20"/>
          <w:lang w:val="hu-HU"/>
        </w:rPr>
      </w:pPr>
      <w:r>
        <w:rPr>
          <w:rFonts w:ascii="Cambria" w:hAnsi="Cambria"/>
          <w:b/>
          <w:sz w:val="20"/>
          <w:szCs w:val="20"/>
          <w:lang w:val="hu-HU"/>
        </w:rPr>
      </w:r>
    </w:p>
    <w:p>
      <w:pPr>
        <w:pStyle w:val="Normal"/>
        <w:spacing w:before="0" w:after="0"/>
        <w:ind w:hanging="567" w:left="142"/>
        <w:rPr>
          <w:rFonts w:ascii="Cambria" w:hAnsi="Cambria"/>
          <w:b/>
          <w:sz w:val="20"/>
          <w:szCs w:val="20"/>
          <w:lang w:val="hu-HU"/>
        </w:rPr>
      </w:pPr>
      <w:r>
        <w:rPr>
          <w:rFonts w:ascii="Cambria" w:hAnsi="Cambria"/>
          <w:b/>
          <w:sz w:val="20"/>
          <w:szCs w:val="20"/>
          <w:lang w:val="hu-HU"/>
        </w:rPr>
        <w:t>2. A tantárgy adatai</w:t>
      </w:r>
    </w:p>
    <w:tbl>
      <w:tblPr>
        <w:tblW w:w="10515" w:type="dxa"/>
        <w:jc w:val="left"/>
        <w:tblInd w:w="-4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293"/>
        <w:gridCol w:w="709"/>
        <w:gridCol w:w="849"/>
        <w:gridCol w:w="426"/>
        <w:gridCol w:w="851"/>
        <w:gridCol w:w="2410"/>
        <w:gridCol w:w="1843"/>
        <w:gridCol w:w="1133"/>
      </w:tblGrid>
      <w:tr>
        <w:trPr>
          <w:trHeight w:val="284" w:hRule="atLeast"/>
        </w:trPr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2.1. A tantárgy neve</w:t>
            </w:r>
          </w:p>
        </w:tc>
        <w:tc>
          <w:tcPr>
            <w:tcW w:w="5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b/>
                <w:sz w:val="20"/>
                <w:szCs w:val="20"/>
                <w:lang w:val="hu-HU" w:eastAsia="zh-CN"/>
              </w:rPr>
              <w:t>Általános matematika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b/>
                <w:bCs/>
              </w:rPr>
            </w:pPr>
            <w:r>
              <w:rPr>
                <w:rFonts w:eastAsia="Times New Roman" w:cs="Times New Roman" w:ascii="Cambria" w:hAnsi="Cambria"/>
                <w:b/>
                <w:bCs/>
                <w:sz w:val="20"/>
                <w:szCs w:val="20"/>
                <w:lang w:val="en-US" w:eastAsia="zh-CN"/>
              </w:rPr>
              <w:t>CLM2011</w:t>
            </w:r>
          </w:p>
        </w:tc>
      </w:tr>
      <w:tr>
        <w:trPr>
          <w:trHeight w:val="284" w:hRule="atLeast"/>
        </w:trPr>
        <w:tc>
          <w:tcPr>
            <w:tcW w:w="3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en-US" w:eastAsia="zh-CN"/>
              </w:rPr>
              <w:t xml:space="preserve">Dr. </w:t>
            </w: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Finta Zoltán egyet. docens</w:t>
            </w:r>
          </w:p>
        </w:tc>
      </w:tr>
      <w:tr>
        <w:trPr>
          <w:trHeight w:val="284" w:hRule="atLeast"/>
        </w:trPr>
        <w:tc>
          <w:tcPr>
            <w:tcW w:w="3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Dr. Finta Zoltán egyet. docens</w:t>
            </w:r>
          </w:p>
        </w:tc>
      </w:tr>
      <w:tr>
        <w:trPr>
          <w:trHeight w:val="284" w:hRule="atLeast"/>
        </w:trPr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ind w:left="34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ind w:right="-203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ind w:right="-288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dropDownList>
                  <w:listItem w:displayText="Vizsga" w:value="Vizsga"/>
                  <w:listItem w:displayText="Kollokvium" w:value="Kollokvium"/>
                  <w:listItem w:displayText="Évk. ellen." w:value="Évk. ellen."/>
                </w:dropDownList>
              </w:sdtPr>
              <w:sdtContent>
                <w:r>
                  <w:rPr>
                    <w:rFonts w:ascii="Cambria" w:hAnsi="Cambria"/>
                    <w:sz w:val="20"/>
                    <w:szCs w:val="20"/>
                  </w:rPr>
                </w:r>
                <w:r>
                  <w:rPr>
                    <w:rFonts w:ascii="Cambria" w:hAnsi="Cambria"/>
                    <w:sz w:val="20"/>
                    <w:szCs w:val="20"/>
                  </w:rPr>
                  <w:t>Vizsga</w:t>
                </w:r>
              </w:sdtContent>
            </w:sdt>
          </w:p>
        </w:tc>
      </w:tr>
      <w:tr>
        <w:trPr>
          <w:trHeight w:val="284" w:hRule="atLeast"/>
        </w:trPr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color w:val="0070C0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2.7. Tantárgy rendszere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dropDownList>
                  <w:listItem w:displayText="Kötelező" w:value="Kötelező"/>
                  <w:listItem w:displayText="Választható" w:value="Választható"/>
                  <w:listItem w:displayText="Fakultatív" w:value="Fakultatív"/>
                </w:dropDownList>
              </w:sdtPr>
              <w:sdtContent>
                <w:r>
                  <w:rPr>
                    <w:rFonts w:ascii="Cambria" w:hAnsi="Cambria"/>
                    <w:sz w:val="20"/>
                    <w:szCs w:val="20"/>
                  </w:rPr>
                </w:r>
                <w:r>
                  <w:rPr>
                    <w:rFonts w:ascii="Cambria" w:hAnsi="Cambria"/>
                    <w:sz w:val="20"/>
                    <w:szCs w:val="20"/>
                  </w:rPr>
                  <w:t>Kötelező</w:t>
                </w:r>
              </w:sdtContent>
            </w:sdt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color w:val="0070C0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dropDownList>
                  <w:listItem w:displayText="Alaptárgy" w:value="Alaptárgy"/>
                  <w:listItem w:displayText="Szaktárgy" w:value="Szaktárgy"/>
                  <w:listItem w:displayText="Kiegészítő" w:value="Kiegészítő"/>
                </w:dropDownList>
              </w:sdtPr>
              <w:sdtContent>
                <w:r>
                  <w:rPr>
                    <w:rFonts w:ascii="Cambria" w:hAnsi="Cambria"/>
                    <w:sz w:val="20"/>
                    <w:szCs w:val="20"/>
                  </w:rPr>
                </w:r>
                <w:r>
                  <w:rPr>
                    <w:rFonts w:ascii="Cambria" w:hAnsi="Cambria"/>
                    <w:sz w:val="20"/>
                    <w:szCs w:val="20"/>
                  </w:rPr>
                  <w:t>Kiegészítő</w:t>
                </w:r>
                <w:r>
                  <w:rPr>
                    <w:rFonts w:ascii="Cambria" w:hAnsi="Cambria"/>
                    <w:sz w:val="20"/>
                    <w:szCs w:val="20"/>
                  </w:rPr>
                </w:r>
              </w:sdtContent>
            </w:sdt>
          </w:p>
        </w:tc>
      </w:tr>
    </w:tbl>
    <w:p>
      <w:pPr>
        <w:pStyle w:val="Normal"/>
        <w:suppressAutoHyphens w:val="true"/>
        <w:spacing w:before="0" w:after="0"/>
        <w:ind w:firstLine="720" w:right="-765"/>
        <w:rPr>
          <w:rFonts w:ascii="Cambria" w:hAnsi="Cambria"/>
          <w:sz w:val="20"/>
          <w:szCs w:val="20"/>
          <w:lang w:val="hu-HU"/>
        </w:rPr>
      </w:pPr>
      <w:r>
        <w:rPr>
          <w:rFonts w:ascii="Cambria" w:hAnsi="Cambria"/>
          <w:sz w:val="20"/>
          <w:szCs w:val="20"/>
          <w:lang w:val="hu-HU"/>
        </w:rPr>
      </w:r>
    </w:p>
    <w:p>
      <w:pPr>
        <w:pStyle w:val="Normal"/>
        <w:suppressAutoHyphens w:val="true"/>
        <w:spacing w:lineRule="auto" w:line="240" w:before="0" w:after="0"/>
        <w:ind w:hanging="426" w:right="-766"/>
        <w:rPr>
          <w:rFonts w:ascii="Cambria" w:hAnsi="Cambria" w:eastAsia="Times New Roman" w:cs="Times New Roman"/>
          <w:sz w:val="20"/>
          <w:lang w:val="hu-HU" w:eastAsia="zh-CN"/>
        </w:rPr>
      </w:pPr>
      <w:r>
        <w:rPr>
          <w:rFonts w:eastAsia="Times New Roman" w:cs="Times New Roman" w:ascii="Cambria" w:hAnsi="Cambria"/>
          <w:b/>
          <w:sz w:val="20"/>
          <w:lang w:val="hu-HU" w:eastAsia="zh-CN"/>
        </w:rPr>
        <w:t xml:space="preserve">3. Teljes becsült idő </w:t>
      </w:r>
      <w:r>
        <w:rPr>
          <w:rFonts w:eastAsia="Times New Roman" w:cs="Times New Roman" w:ascii="Cambria" w:hAnsi="Cambria"/>
          <w:bCs/>
          <w:sz w:val="20"/>
          <w:lang w:val="hu-HU" w:eastAsia="zh-CN"/>
        </w:rPr>
        <w:t>(az oktatási tevékenység féléves óraszáma)</w:t>
      </w:r>
    </w:p>
    <w:tbl>
      <w:tblPr>
        <w:tblpPr w:vertAnchor="text" w:horzAnchor="text" w:leftFromText="180" w:rightFromText="180" w:tblpX="-409" w:tblpY="1"/>
        <w:tblOverlap w:val="never"/>
        <w:tblW w:w="1048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538"/>
        <w:gridCol w:w="566"/>
        <w:gridCol w:w="2269"/>
        <w:gridCol w:w="570"/>
        <w:gridCol w:w="1841"/>
        <w:gridCol w:w="1133"/>
        <w:gridCol w:w="567"/>
      </w:tblGrid>
      <w:tr>
        <w:trPr>
          <w:trHeight w:val="284" w:hRule="atLeast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3.1. Heti óraszám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mbria" w:hAnsi="Cambria" w:eastAsia="Times New Roman" w:cs="Times New Roman"/>
                <w:b w:val="false"/>
                <w:bCs w:val="false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b w:val="false"/>
                <w:bCs w:val="false"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melyből: 3.2. előadás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mbria" w:hAnsi="Cambria" w:eastAsia="Times New Roman" w:cs="Times New Roman"/>
                <w:b w:val="false"/>
                <w:bCs w:val="false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b w:val="false"/>
                <w:bCs w:val="false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3.3. szeminárium/labor/projekt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mbria" w:hAnsi="Cambria" w:eastAsia="Times New Roman" w:cs="Times New Roman"/>
                <w:b w:val="false"/>
                <w:bCs w:val="false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b w:val="false"/>
                <w:bCs w:val="false"/>
                <w:sz w:val="20"/>
                <w:szCs w:val="20"/>
                <w:lang w:val="hu-HU" w:eastAsia="zh-CN"/>
              </w:rPr>
              <w:t>2</w:t>
            </w:r>
          </w:p>
        </w:tc>
      </w:tr>
      <w:tr>
        <w:trPr>
          <w:trHeight w:val="284" w:hRule="atLeast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3.4. Tantervben szereplő összóraszám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bCs/>
                <w:sz w:val="20"/>
                <w:szCs w:val="20"/>
                <w:lang w:val="hu-HU" w:eastAsia="zh-CN"/>
              </w:rPr>
              <w:t>3.6 szeminárium/labor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28</w:t>
            </w:r>
          </w:p>
        </w:tc>
      </w:tr>
      <w:tr>
        <w:trPr>
          <w:trHeight w:val="284" w:hRule="atLeast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>
        <w:trPr>
          <w:trHeight w:val="284" w:hRule="atLeast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A tankönyv, a jegyzet, a szakirodalom vagy saját jegyzetek tanulmányozása (ET)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en-US" w:eastAsia="zh-CN"/>
              </w:rPr>
              <w:t>25</w:t>
            </w:r>
          </w:p>
        </w:tc>
      </w:tr>
      <w:tr>
        <w:trPr>
          <w:trHeight w:val="284" w:hRule="atLeast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en-US" w:eastAsia="zh-CN"/>
              </w:rPr>
              <w:t>12</w:t>
            </w:r>
          </w:p>
        </w:tc>
      </w:tr>
      <w:tr>
        <w:trPr>
          <w:trHeight w:val="284" w:hRule="atLeast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Szemináriumok/ laborok, házi feladatok, portfóliók, referátumok, esszék kidolgozása</w:t>
            </w:r>
          </w:p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1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1</w:t>
            </w:r>
            <w:r>
              <w:rPr>
                <w:rFonts w:eastAsia="Times New Roman" w:cs="Times New Roman" w:ascii="Cambria" w:hAnsi="Cambria"/>
                <w:sz w:val="20"/>
                <w:szCs w:val="20"/>
                <w:lang w:val="en-US" w:eastAsia="zh-CN"/>
              </w:rPr>
              <w:t>0</w:t>
            </w:r>
          </w:p>
        </w:tc>
      </w:tr>
      <w:tr>
        <w:trPr>
          <w:trHeight w:val="284" w:hRule="atLeast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7</w:t>
            </w:r>
          </w:p>
        </w:tc>
      </w:tr>
      <w:tr>
        <w:trPr>
          <w:trHeight w:val="284" w:hRule="atLeast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15</w:t>
            </w:r>
          </w:p>
        </w:tc>
      </w:tr>
      <w:tr>
        <w:trPr>
          <w:trHeight w:val="284" w:hRule="atLeast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Más tevékenységek: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szCs w:val="20"/>
                <w:lang w:val="hu-HU" w:eastAsia="zh-CN"/>
              </w:rPr>
              <w:t>---</w:t>
            </w:r>
          </w:p>
        </w:tc>
      </w:tr>
      <w:tr>
        <w:trPr>
          <w:trHeight w:val="284" w:hRule="atLeast"/>
        </w:trPr>
        <w:tc>
          <w:tcPr>
            <w:tcW w:w="8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b/>
                <w:sz w:val="20"/>
                <w:szCs w:val="20"/>
                <w:lang w:val="hu-HU" w:eastAsia="zh-CN"/>
              </w:rPr>
              <w:t>69</w:t>
            </w:r>
          </w:p>
        </w:tc>
      </w:tr>
      <w:tr>
        <w:trPr>
          <w:trHeight w:val="284" w:hRule="atLeast"/>
        </w:trPr>
        <w:tc>
          <w:tcPr>
            <w:tcW w:w="8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>
        <w:trPr>
          <w:trHeight w:val="284" w:hRule="atLeast"/>
        </w:trPr>
        <w:tc>
          <w:tcPr>
            <w:tcW w:w="8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>
      <w:pPr>
        <w:pStyle w:val="Normal"/>
        <w:suppressAutoHyphens w:val="true"/>
        <w:spacing w:lineRule="auto" w:line="240" w:before="0" w:after="0"/>
        <w:ind w:left="-284"/>
        <w:jc w:val="both"/>
        <w:rPr>
          <w:rFonts w:ascii="Cambria" w:hAnsi="Cambria" w:eastAsia="Times New Roman" w:cs="Times New Roman"/>
          <w:b/>
          <w:sz w:val="20"/>
          <w:lang w:val="hu-HU" w:eastAsia="zh-CN"/>
        </w:rPr>
      </w:pPr>
      <w:r>
        <w:rPr>
          <w:rFonts w:eastAsia="Times New Roman" w:cs="Times New Roman" w:ascii="Cambria" w:hAnsi="Cambria"/>
          <w:b/>
          <w:sz w:val="20"/>
          <w:lang w:val="hu-HU" w:eastAsia="zh-CN"/>
        </w:rPr>
      </w:r>
    </w:p>
    <w:p>
      <w:pPr>
        <w:pStyle w:val="Normal"/>
        <w:suppressAutoHyphens w:val="true"/>
        <w:spacing w:lineRule="auto" w:line="240" w:before="0" w:after="0"/>
        <w:ind w:hanging="142" w:left="-284"/>
        <w:jc w:val="both"/>
        <w:rPr>
          <w:rFonts w:ascii="Cambria" w:hAnsi="Cambria" w:eastAsia="Times New Roman" w:cs="Times New Roman"/>
          <w:sz w:val="20"/>
          <w:lang w:val="hu-HU" w:eastAsia="zh-CN"/>
        </w:rPr>
      </w:pPr>
      <w:r>
        <w:rPr>
          <w:rFonts w:eastAsia="Times New Roman" w:cs="Times New Roman" w:ascii="Cambria" w:hAnsi="Cambria"/>
          <w:b/>
          <w:sz w:val="20"/>
          <w:lang w:val="hu-HU" w:eastAsia="zh-CN"/>
        </w:rPr>
        <w:t xml:space="preserve">4. Előfeltételek </w:t>
      </w:r>
      <w:r>
        <w:rPr>
          <w:rFonts w:eastAsia="Times New Roman" w:cs="Times New Roman" w:ascii="Cambria" w:hAnsi="Cambria"/>
          <w:bCs/>
          <w:sz w:val="20"/>
          <w:lang w:val="hu-HU" w:eastAsia="zh-CN"/>
        </w:rPr>
        <w:t>(ha vannak)</w:t>
      </w:r>
    </w:p>
    <w:tbl>
      <w:tblPr>
        <w:tblW w:w="10491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126"/>
        <w:gridCol w:w="8364"/>
      </w:tblGrid>
      <w:tr>
        <w:trPr>
          <w:trHeight w:val="284" w:hRule="atLeast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sz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lang w:val="hu-HU" w:eastAsia="zh-CN"/>
              </w:rPr>
              <w:t>4.1. tantervi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ind w:left="72"/>
              <w:rPr>
                <w:rFonts w:ascii="Cambria" w:hAnsi="Cambria" w:eastAsia="Times New Roman" w:cs="Times New Roman"/>
                <w:color w:val="000000"/>
                <w:sz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color w:val="000000"/>
                <w:sz w:val="20"/>
                <w:lang w:val="hu-HU" w:eastAsia="zh-CN"/>
              </w:rPr>
              <w:t>Középiskolai matematika (M1 vagy M2 program)</w:t>
            </w:r>
          </w:p>
        </w:tc>
      </w:tr>
      <w:tr>
        <w:trPr>
          <w:trHeight w:val="284" w:hRule="atLeast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sz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lang w:val="hu-HU" w:eastAsia="zh-CN"/>
              </w:rPr>
              <w:t>4.2. kompetenciabeli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ind w:left="72"/>
              <w:rPr>
                <w:rFonts w:ascii="Cambria" w:hAnsi="Cambria" w:eastAsia="Times New Roman" w:cs="Times New Roman"/>
                <w:sz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lang w:val="hu-HU" w:eastAsia="zh-CN"/>
              </w:rPr>
              <w:t>Matematikai gondolkodás, modellezés, problémamegoldás</w:t>
            </w:r>
          </w:p>
        </w:tc>
      </w:tr>
    </w:tbl>
    <w:p>
      <w:pPr>
        <w:pStyle w:val="Normal"/>
        <w:suppressAutoHyphens w:val="true"/>
        <w:spacing w:lineRule="auto" w:line="240" w:before="0" w:after="0"/>
        <w:ind w:hanging="426" w:right="-766"/>
        <w:rPr>
          <w:rFonts w:ascii="Cambria" w:hAnsi="Cambria" w:eastAsia="Times New Roman" w:cs="Times New Roman"/>
          <w:b/>
          <w:sz w:val="20"/>
          <w:lang w:val="hu-HU" w:eastAsia="zh-CN"/>
        </w:rPr>
      </w:pPr>
      <w:r>
        <w:rPr>
          <w:rFonts w:eastAsia="Times New Roman" w:cs="Times New Roman" w:ascii="Cambria" w:hAnsi="Cambria"/>
          <w:b/>
          <w:sz w:val="20"/>
          <w:lang w:val="hu-HU" w:eastAsia="zh-CN"/>
        </w:rPr>
      </w:r>
    </w:p>
    <w:p>
      <w:pPr>
        <w:pStyle w:val="Normal"/>
        <w:suppressAutoHyphens w:val="true"/>
        <w:spacing w:lineRule="auto" w:line="240" w:before="0" w:after="0"/>
        <w:ind w:hanging="426"/>
        <w:rPr>
          <w:rFonts w:ascii="Cambria" w:hAnsi="Cambria"/>
          <w:sz w:val="20"/>
          <w:szCs w:val="20"/>
          <w:lang w:val="hu-HU"/>
        </w:rPr>
      </w:pPr>
      <w:r>
        <w:rPr>
          <w:rFonts w:eastAsia="Times New Roman" w:cs="Times New Roman" w:ascii="Cambria" w:hAnsi="Cambria"/>
          <w:b/>
          <w:sz w:val="20"/>
          <w:lang w:val="hu-HU" w:eastAsia="zh-CN"/>
        </w:rPr>
        <w:t xml:space="preserve">5. Feltételek </w:t>
      </w:r>
      <w:r>
        <w:rPr>
          <w:rFonts w:eastAsia="Times New Roman" w:cs="Times New Roman" w:ascii="Cambria" w:hAnsi="Cambria"/>
          <w:bCs/>
          <w:sz w:val="20"/>
          <w:lang w:val="hu-HU" w:eastAsia="zh-CN"/>
        </w:rPr>
        <w:t>(ha vannak)</w:t>
      </w:r>
    </w:p>
    <w:tbl>
      <w:tblPr>
        <w:tblW w:w="10439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961"/>
        <w:gridCol w:w="5477"/>
      </w:tblGrid>
      <w:tr>
        <w:trPr>
          <w:trHeight w:val="284" w:hRule="atLeast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sz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before="0" w:after="0"/>
              <w:ind w:hanging="0" w:left="641"/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Megfelelő infrastruktúrával ellátott előadóterem</w:t>
            </w:r>
          </w:p>
        </w:tc>
      </w:tr>
      <w:tr>
        <w:trPr>
          <w:trHeight w:val="284" w:hRule="atLeast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Cambria" w:hAnsi="Cambria" w:eastAsia="Times New Roman" w:cs="Times New Roman"/>
                <w:sz w:val="20"/>
                <w:lang w:val="hu-HU" w:eastAsia="zh-CN"/>
              </w:rPr>
            </w:pPr>
            <w:r>
              <w:rPr>
                <w:rFonts w:eastAsia="Times New Roman" w:cs="Times New Roman" w:ascii="Cambria" w:hAnsi="Cambria"/>
                <w:sz w:val="20"/>
                <w:lang w:val="hu-HU" w:eastAsia="zh-CN"/>
              </w:rPr>
              <w:t>5.2. A szeminárium/ labor lebonyolításának feltételei</w:t>
            </w:r>
          </w:p>
        </w:tc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before="0" w:after="0"/>
              <w:ind w:hanging="0" w:left="641"/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Megfelelő infrastruktúrával ellátott szemináriumi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terem</w:t>
            </w:r>
          </w:p>
        </w:tc>
      </w:tr>
    </w:tbl>
    <w:p>
      <w:pPr>
        <w:pStyle w:val="Normal"/>
        <w:suppressAutoHyphens w:val="true"/>
        <w:spacing w:lineRule="auto" w:line="240" w:before="0" w:after="0"/>
        <w:ind w:hanging="426"/>
        <w:rPr>
          <w:rFonts w:ascii="Cambria" w:hAnsi="Cambria" w:eastAsia="Times New Roman" w:cs="Times New Roman"/>
          <w:b/>
          <w:sz w:val="20"/>
          <w:lang w:val="hu-HU" w:eastAsia="zh-CN"/>
        </w:rPr>
      </w:pPr>
      <w:r>
        <w:rPr>
          <w:rFonts w:eastAsia="Times New Roman" w:cs="Times New Roman" w:ascii="Cambria" w:hAnsi="Cambria"/>
          <w:b/>
          <w:sz w:val="20"/>
          <w:lang w:val="hu-HU" w:eastAsia="zh-CN"/>
        </w:rPr>
      </w:r>
    </w:p>
    <w:p>
      <w:pPr>
        <w:pStyle w:val="Normal"/>
        <w:suppressAutoHyphens w:val="true"/>
        <w:spacing w:lineRule="auto" w:line="240" w:before="0" w:after="0"/>
        <w:ind w:hanging="426"/>
        <w:rPr>
          <w:rFonts w:ascii="Cambria" w:hAnsi="Cambria" w:eastAsia="Times New Roman" w:cs="Times New Roman"/>
          <w:b/>
          <w:sz w:val="20"/>
          <w:lang w:val="hu-HU" w:eastAsia="zh-CN"/>
        </w:rPr>
      </w:pPr>
      <w:r>
        <w:rPr>
          <w:rFonts w:eastAsia="Times New Roman" w:cs="Times New Roman" w:ascii="Cambria" w:hAnsi="Cambria"/>
          <w:b/>
          <w:sz w:val="20"/>
          <w:lang w:val="hu-HU" w:eastAsia="zh-CN"/>
        </w:rPr>
        <w:t xml:space="preserve">6.1. A tanulmányi program elvégzése során elsajátított kompetenciák </w:t>
      </w:r>
      <w:r>
        <w:rPr>
          <w:rFonts w:eastAsia="Times New Roman" w:cs="Times New Roman" w:ascii="Cambria" w:hAnsi="Cambria"/>
          <w:bCs/>
          <w:sz w:val="20"/>
          <w:lang w:val="hu-HU" w:eastAsia="zh-CN"/>
        </w:rPr>
        <w:t>(a tantervből kell átvenni)</w:t>
      </w:r>
      <w:r>
        <w:rPr>
          <w:rStyle w:val="FootnoteReference"/>
          <w:rFonts w:eastAsia="Times New Roman" w:cs="Times New Roman" w:ascii="Cambria" w:hAnsi="Cambria"/>
          <w:bCs/>
          <w:sz w:val="20"/>
          <w:vertAlign w:val="superscript"/>
          <w:lang w:val="hu-HU" w:eastAsia="zh-CN"/>
        </w:rPr>
        <w:footnoteReference w:id="2"/>
      </w:r>
    </w:p>
    <w:tbl>
      <w:tblPr>
        <w:tblW w:w="10491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560"/>
        <w:gridCol w:w="8930"/>
      </w:tblGrid>
      <w:tr>
        <w:trPr>
          <w:trHeight w:val="397" w:hRule="atLeast"/>
          <w:cantSplit w:val="true"/>
        </w:trPr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>
        <w:trPr>
          <w:trHeight w:val="397" w:hRule="atLeast"/>
          <w:cantSplit w:val="true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>
        <w:trPr>
          <w:trHeight w:val="397" w:hRule="atLeast"/>
          <w:cantSplit w:val="true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CP1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reformattedText"/>
              <w:spacing w:lineRule="auto" w:line="240" w:before="0" w:after="0"/>
              <w:rPr>
                <w:rFonts w:ascii="inherit" w:hAnsi="inherit"/>
                <w:b w:val="false"/>
                <w:i w:val="false"/>
                <w:i w:val="false"/>
                <w:iCs w:val="false"/>
                <w:caps w:val="false"/>
                <w:smallCaps w:val="false"/>
                <w:color w:val="1F1F1F"/>
                <w:spacing w:val="0"/>
                <w:sz w:val="42"/>
                <w:lang w:val="hu-HU"/>
              </w:rPr>
            </w:pPr>
            <w:bookmarkStart w:id="0" w:name="tw-target-text"/>
            <w:bookmarkEnd w:id="0"/>
            <w:r>
              <w:rPr>
                <w:rFonts w:ascii="Cambria" w:hAnsi="Cambria"/>
                <w:b w:val="false"/>
                <w:i w:val="false"/>
                <w:iCs w:val="false"/>
                <w:caps w:val="false"/>
                <w:smallCaps w:val="false"/>
                <w:color w:val="1F1F1F"/>
                <w:spacing w:val="0"/>
                <w:sz w:val="20"/>
                <w:szCs w:val="20"/>
                <w:lang w:val="hu-HU"/>
              </w:rPr>
              <w:t>A kémiával kapcsolatos tudományos ismeretek alkalmazása új ismeretek vagy termékek fejlesztésére a minőség és a folyamatszabályozás javítása érdekében.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/>
                <w:i/>
                <w:i/>
                <w:iCs/>
                <w:sz w:val="20"/>
                <w:szCs w:val="20"/>
              </w:rPr>
            </w:pPr>
            <w:r>
              <w:rPr>
                <w:rFonts w:ascii="Cambria" w:hAnsi="Cambria"/>
                <w:i/>
                <w:iCs/>
                <w:sz w:val="20"/>
                <w:szCs w:val="20"/>
              </w:rPr>
              <w:t>Apply scientific knowledge related to chemistry in order to develop new knowledge or products to improve quality and process control.</w:t>
            </w:r>
          </w:p>
        </w:tc>
      </w:tr>
      <w:tr>
        <w:trPr>
          <w:trHeight w:val="397" w:hRule="atLeast"/>
          <w:cantSplit w:val="true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CP13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reformattedText"/>
              <w:spacing w:lineRule="auto" w:line="240" w:before="0" w:after="0"/>
              <w:rPr>
                <w:rFonts w:ascii="inherit" w:hAnsi="inherit"/>
                <w:b w:val="false"/>
                <w:i w:val="false"/>
                <w:i w:val="false"/>
                <w:iCs w:val="false"/>
                <w:caps w:val="false"/>
                <w:smallCaps w:val="false"/>
                <w:color w:val="1F1F1F"/>
                <w:spacing w:val="0"/>
                <w:sz w:val="42"/>
                <w:lang w:val="hu-HU"/>
              </w:rPr>
            </w:pPr>
            <w:bookmarkStart w:id="1" w:name="tw-target-text_Copy_2"/>
            <w:bookmarkEnd w:id="1"/>
            <w:r>
              <w:rPr>
                <w:rFonts w:ascii="Cambria" w:hAnsi="Cambria"/>
                <w:b w:val="false"/>
                <w:i w:val="false"/>
                <w:iCs w:val="false"/>
                <w:caps w:val="false"/>
                <w:smallCaps w:val="false"/>
                <w:color w:val="1F1F1F"/>
                <w:spacing w:val="0"/>
                <w:sz w:val="20"/>
                <w:szCs w:val="20"/>
                <w:lang w:val="hu-HU"/>
              </w:rPr>
              <w:t>Elősegíti az innovációt és a tudástranszfert.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i/>
                <w:iCs/>
                <w:sz w:val="20"/>
                <w:szCs w:val="20"/>
              </w:rPr>
              <w:t>Promote de innovation in research and the transfer of knowledge.</w:t>
            </w:r>
          </w:p>
        </w:tc>
      </w:tr>
      <w:tr>
        <w:trPr>
          <w:trHeight w:val="397" w:hRule="atLeast"/>
          <w:cantSplit w:val="true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CP14</w:t>
            </w:r>
          </w:p>
        </w:tc>
        <w:tc>
          <w:tcPr>
            <w:tcW w:w="8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reformattedText"/>
              <w:spacing w:lineRule="auto" w:line="240" w:before="0" w:after="0"/>
              <w:rPr>
                <w:rFonts w:ascii="Cambria" w:hAnsi="Cambria"/>
                <w:b w:val="false"/>
                <w:i w:val="false"/>
                <w:i w:val="false"/>
                <w:iCs w:val="false"/>
                <w:caps w:val="false"/>
                <w:smallCaps w:val="false"/>
                <w:color w:val="1F1F1F"/>
                <w:spacing w:val="0"/>
                <w:sz w:val="20"/>
                <w:szCs w:val="20"/>
                <w:lang w:val="hu-HU"/>
              </w:rPr>
            </w:pPr>
            <w:bookmarkStart w:id="2" w:name="tw-target-text_Copy_3"/>
            <w:bookmarkEnd w:id="2"/>
            <w:r>
              <w:rPr>
                <w:rFonts w:ascii="Cambria" w:hAnsi="Cambria"/>
                <w:b w:val="false"/>
                <w:i w:val="false"/>
                <w:iCs w:val="false"/>
                <w:caps w:val="false"/>
                <w:smallCaps w:val="false"/>
                <w:color w:val="1F1F1F"/>
                <w:spacing w:val="0"/>
                <w:sz w:val="20"/>
                <w:szCs w:val="20"/>
                <w:lang w:val="hu-HU"/>
              </w:rPr>
              <w:t>Tudományos, szakmai és műszaki dokumentációkat ír.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/>
                <w:i/>
                <w:i/>
                <w:iCs/>
                <w:sz w:val="20"/>
              </w:rPr>
            </w:pPr>
            <w:r>
              <w:rPr>
                <w:rFonts w:ascii="Cambria" w:hAnsi="Cambria"/>
                <w:i/>
                <w:iCs/>
                <w:sz w:val="20"/>
                <w:szCs w:val="20"/>
              </w:rPr>
              <w:t>Write scientific and academic publications and technical reports.</w:t>
            </w:r>
          </w:p>
        </w:tc>
      </w:tr>
      <w:tr>
        <w:trPr>
          <w:trHeight w:val="397" w:hRule="atLeast"/>
          <w:cantSplit w:val="true"/>
        </w:trPr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>
        <w:trPr>
          <w:trHeight w:val="397" w:hRule="atLeast"/>
          <w:cantSplit w:val="true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>
        <w:trPr>
          <w:trHeight w:val="397" w:hRule="atLeast"/>
          <w:cantSplit w:val="true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CT1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reformattedText"/>
              <w:spacing w:lineRule="auto" w:line="240" w:before="0" w:after="0"/>
              <w:rPr>
                <w:rFonts w:ascii="inherit" w:hAnsi="inherit"/>
                <w:b w:val="false"/>
                <w:i w:val="false"/>
                <w:i w:val="false"/>
                <w:iCs w:val="false"/>
                <w:caps w:val="false"/>
                <w:smallCaps w:val="false"/>
                <w:color w:val="1F1F1F"/>
                <w:spacing w:val="0"/>
                <w:sz w:val="42"/>
                <w:u w:val="none"/>
                <w:lang w:val="hu-HU"/>
              </w:rPr>
            </w:pPr>
            <w:bookmarkStart w:id="3" w:name="tw-target-text_Copy_4"/>
            <w:bookmarkEnd w:id="3"/>
            <w:r>
              <w:rPr>
                <w:rFonts w:ascii="Cambria" w:hAnsi="Cambria"/>
                <w:b w:val="false"/>
                <w:i w:val="false"/>
                <w:iCs w:val="false"/>
                <w:caps w:val="false"/>
                <w:smallCaps w:val="false"/>
                <w:color w:val="1F1F1F"/>
                <w:spacing w:val="0"/>
                <w:sz w:val="20"/>
                <w:szCs w:val="20"/>
                <w:u w:val="none"/>
                <w:lang w:val="en-US"/>
              </w:rPr>
              <w:t>Szakmai feladatok hatékony és felelősségteljes elvégzése, a szakterületre vonatkozó jogszabályok és etikai szabályok tiszteletben tartása, minősített segítséggel.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Achievement of professional tasks effectively and responsibly according to the legal regulations and ethics specific to the field under qualified assistance.</w:t>
            </w:r>
          </w:p>
        </w:tc>
      </w:tr>
    </w:tbl>
    <w:p>
      <w:pPr>
        <w:pStyle w:val="Normal"/>
        <w:spacing w:before="0" w:after="0"/>
        <w:ind w:hanging="425"/>
        <w:rPr>
          <w:rFonts w:ascii="Cambria" w:hAnsi="Cambria"/>
          <w:b/>
          <w:sz w:val="20"/>
          <w:szCs w:val="20"/>
          <w:lang w:val="hu-HU"/>
        </w:rPr>
      </w:pPr>
      <w:r>
        <w:rPr>
          <w:rFonts w:ascii="Cambria" w:hAnsi="Cambria"/>
          <w:b/>
          <w:sz w:val="20"/>
          <w:szCs w:val="20"/>
          <w:lang w:val="hu-HU"/>
        </w:rPr>
      </w:r>
    </w:p>
    <w:p>
      <w:pPr>
        <w:pStyle w:val="Normal"/>
        <w:spacing w:before="0" w:after="0"/>
        <w:ind w:hanging="425"/>
        <w:rPr>
          <w:rFonts w:ascii="Cambria" w:hAnsi="Cambria"/>
          <w:b/>
          <w:sz w:val="20"/>
          <w:szCs w:val="20"/>
          <w:lang w:val="hu-HU"/>
        </w:rPr>
      </w:pPr>
      <w:r>
        <w:rPr>
          <w:rFonts w:ascii="Cambria" w:hAnsi="Cambria"/>
          <w:b/>
          <w:sz w:val="20"/>
          <w:szCs w:val="20"/>
          <w:lang w:val="hu-HU"/>
        </w:rPr>
        <w:t xml:space="preserve">6.2. A tanulmányi programra jellemző képzési eredmények </w:t>
      </w:r>
      <w:r>
        <w:rPr>
          <w:rFonts w:eastAsia="Times New Roman" w:cs="Times New Roman" w:ascii="Cambria" w:hAnsi="Cambria"/>
          <w:bCs/>
          <w:sz w:val="20"/>
          <w:lang w:val="hu-HU" w:eastAsia="zh-CN"/>
        </w:rPr>
        <w:t>(a tantervből kell átvenni)</w:t>
      </w:r>
      <w:r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3"/>
      </w:r>
    </w:p>
    <w:tbl>
      <w:tblPr>
        <w:tblW w:w="10491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560"/>
        <w:gridCol w:w="4668"/>
        <w:gridCol w:w="4263"/>
      </w:tblGrid>
      <w:tr>
        <w:trPr>
          <w:trHeight w:val="397" w:hRule="atLeast"/>
          <w:cantSplit w:val="true"/>
        </w:trPr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>
        <w:trPr>
          <w:trHeight w:val="397" w:hRule="atLeast"/>
          <w:cantSplit w:val="true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sz w:val="20"/>
                <w:szCs w:val="20"/>
                <w:lang w:val="hu-HU"/>
              </w:rPr>
              <w:t>Ismeret és megértés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>
        <w:trPr>
          <w:trHeight w:val="397" w:hRule="atLeast"/>
          <w:cantSplit w:val="true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CT2-CT3</w:t>
            </w:r>
          </w:p>
        </w:tc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reformattedText"/>
              <w:spacing w:lineRule="auto" w:line="240" w:before="0" w:after="0"/>
              <w:rPr>
                <w:rFonts w:ascii="Cambria" w:hAnsi="Cambria"/>
                <w:sz w:val="20"/>
                <w:szCs w:val="20"/>
                <w:lang w:val="en-US"/>
              </w:rPr>
            </w:pPr>
            <w:bookmarkStart w:id="4" w:name="tw-target-text_Copy_2_Copy_1"/>
            <w:bookmarkEnd w:id="4"/>
            <w:r>
              <w:rPr>
                <w:rFonts w:ascii="Cambria" w:hAnsi="Cambria"/>
                <w:b w:val="false"/>
                <w:i w:val="false"/>
                <w:caps w:val="false"/>
                <w:smallCaps w:val="false"/>
                <w:color w:val="1F1F1F"/>
                <w:spacing w:val="0"/>
                <w:sz w:val="20"/>
                <w:szCs w:val="20"/>
                <w:lang w:val="ro-RO"/>
              </w:rPr>
              <w:t>A hallgató/</w:t>
            </w:r>
            <w:r>
              <w:rPr>
                <w:rFonts w:ascii="Cambria" w:hAnsi="Cambria"/>
                <w:b w:val="false"/>
                <w:i w:val="false"/>
                <w:iCs w:val="false"/>
                <w:caps w:val="false"/>
                <w:smallCaps w:val="false"/>
                <w:color w:val="1F1F1F"/>
                <w:spacing w:val="0"/>
                <w:sz w:val="20"/>
                <w:szCs w:val="20"/>
                <w:lang w:val="hu-HU"/>
              </w:rPr>
              <w:t>diplomás</w:t>
            </w:r>
            <w:r>
              <w:rPr>
                <w:rFonts w:ascii="Cambria" w:hAnsi="Cambria"/>
                <w:b w:val="false"/>
                <w:i w:val="false"/>
                <w:caps w:val="false"/>
                <w:smallCaps w:val="false"/>
                <w:color w:val="1F1F1F"/>
                <w:spacing w:val="0"/>
                <w:sz w:val="20"/>
                <w:szCs w:val="20"/>
                <w:lang w:val="ro-RO"/>
              </w:rPr>
              <w:t xml:space="preserve"> matematikai és fizikai elveket kapcsol össze a kémia területén szerzett szaktudásának alkalmazása érdekében.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/>
                <w:i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i/>
                <w:iCs/>
                <w:sz w:val="20"/>
                <w:szCs w:val="20"/>
                <w:lang w:val="ro-RO"/>
              </w:rPr>
              <w:t>The student/graduate describes and integrates specific and interdisciplinary knowledge into their professional activity.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reformattedText"/>
              <w:spacing w:lineRule="auto" w:line="240" w:before="0" w:after="0"/>
              <w:rPr>
                <w:rFonts w:ascii="inherit" w:hAnsi="inherit"/>
                <w:b w:val="false"/>
                <w:i w:val="false"/>
                <w:i w:val="false"/>
                <w:iCs w:val="false"/>
                <w:caps w:val="false"/>
                <w:smallCaps w:val="false"/>
                <w:color w:val="1F1F1F"/>
                <w:spacing w:val="0"/>
                <w:sz w:val="42"/>
                <w:lang w:val="hu-HU"/>
              </w:rPr>
            </w:pPr>
            <w:bookmarkStart w:id="5" w:name="tw-target-text_Copy_3_Copy_1"/>
            <w:bookmarkEnd w:id="5"/>
            <w:r>
              <w:rPr>
                <w:rFonts w:ascii="Cambria" w:hAnsi="Cambria"/>
                <w:b w:val="false"/>
                <w:i w:val="false"/>
                <w:iCs w:val="false"/>
                <w:caps w:val="false"/>
                <w:smallCaps w:val="false"/>
                <w:color w:val="1F1F1F"/>
                <w:spacing w:val="0"/>
                <w:sz w:val="20"/>
                <w:szCs w:val="20"/>
                <w:lang w:val="en-US"/>
              </w:rPr>
              <w:t>A hallgató/</w:t>
            </w:r>
            <w:r>
              <w:rPr>
                <w:rFonts w:ascii="Cambria" w:hAnsi="Cambria"/>
                <w:b w:val="false"/>
                <w:i w:val="false"/>
                <w:iCs w:val="false"/>
                <w:caps w:val="false"/>
                <w:smallCaps w:val="false"/>
                <w:color w:val="1F1F1F"/>
                <w:spacing w:val="0"/>
                <w:sz w:val="20"/>
                <w:szCs w:val="20"/>
                <w:lang w:val="hu-HU"/>
              </w:rPr>
              <w:t>diplomás</w:t>
            </w:r>
            <w:r>
              <w:rPr>
                <w:rFonts w:ascii="Cambria" w:hAnsi="Cambria"/>
                <w:b w:val="false"/>
                <w:i w:val="false"/>
                <w:iCs w:val="false"/>
                <w:caps w:val="false"/>
                <w:smallCaps w:val="false"/>
                <w:color w:val="1F1F1F"/>
                <w:spacing w:val="0"/>
                <w:sz w:val="20"/>
                <w:szCs w:val="20"/>
                <w:lang w:val="en-US"/>
              </w:rPr>
              <w:t xml:space="preserve"> matematikai és fizikai fogalmakat alkalmaz kísérleti adatok validálására, műszerek kalibrálására és a kémiai átalakulások prediktív modellezésére.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/>
                <w:i/>
                <w:i/>
                <w:iCs/>
                <w:sz w:val="20"/>
                <w:szCs w:val="20"/>
                <w:lang w:val="ro-RO"/>
              </w:rPr>
            </w:pPr>
            <w:r>
              <w:rPr>
                <w:rFonts w:ascii="Cambria" w:hAnsi="Cambria"/>
                <w:i/>
                <w:iCs/>
                <w:sz w:val="20"/>
                <w:szCs w:val="20"/>
                <w:lang w:val="ro-RO"/>
              </w:rPr>
              <w:t>The student/graduate applieds mathematical and physical concepts to validate experimental data, calibrate instruments, and perform predictive modeling of chemical transformations</w:t>
            </w:r>
          </w:p>
        </w:tc>
      </w:tr>
    </w:tbl>
    <w:p>
      <w:pPr>
        <w:pStyle w:val="Normal"/>
        <w:spacing w:before="0" w:after="0"/>
        <w:rPr>
          <w:rFonts w:ascii="Cambria" w:hAnsi="Cambria"/>
          <w:b/>
          <w:sz w:val="20"/>
          <w:szCs w:val="20"/>
          <w:lang w:val="hu-HU"/>
        </w:rPr>
      </w:pPr>
      <w:r>
        <w:rPr>
          <w:rFonts w:ascii="Cambria" w:hAnsi="Cambria"/>
          <w:b/>
          <w:sz w:val="20"/>
          <w:szCs w:val="20"/>
          <w:lang w:val="hu-HU"/>
        </w:rPr>
      </w:r>
    </w:p>
    <w:p>
      <w:pPr>
        <w:pStyle w:val="Normal"/>
        <w:spacing w:lineRule="auto" w:line="240" w:before="0" w:after="0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>
        <w:rPr>
          <w:rFonts w:ascii="Cambria" w:hAnsi="Cambria"/>
          <w:b/>
          <w:sz w:val="20"/>
          <w:szCs w:val="20"/>
          <w:lang w:val="hu-HU"/>
        </w:rPr>
        <w:t xml:space="preserve">7. Tárgy-specifikus tanulási eredmények </w:t>
      </w:r>
    </w:p>
    <w:tbl>
      <w:tblPr>
        <w:tblW w:w="10511" w:type="dxa"/>
        <w:jc w:val="left"/>
        <w:tblInd w:w="-4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0" w:lastRow="1" w:firstColumn="1" w:lastColumn="1" w:noHBand="0" w:val="01e0"/>
      </w:tblPr>
      <w:tblGrid>
        <w:gridCol w:w="10511"/>
      </w:tblGrid>
      <w:tr>
        <w:trPr>
          <w:trHeight w:val="340" w:hRule="atLeast"/>
          <w:cantSplit w:val="true"/>
        </w:trPr>
        <w:tc>
          <w:tcPr>
            <w:tcW w:w="10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contextualSpacing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Ismeret és megértés </w:t>
            </w:r>
            <w:r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>
        <w:trPr>
          <w:trHeight w:val="340" w:hRule="atLeast"/>
          <w:cantSplit w:val="true"/>
        </w:trPr>
        <w:tc>
          <w:tcPr>
            <w:tcW w:w="10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reformattedText"/>
              <w:spacing w:lineRule="auto" w:line="240" w:before="0" w:after="0"/>
              <w:rPr>
                <w:rFonts w:ascii="Cambria" w:hAnsi="Cambria"/>
                <w:sz w:val="20"/>
                <w:szCs w:val="20"/>
                <w:lang w:val="en-US"/>
              </w:rPr>
            </w:pPr>
            <w:bookmarkStart w:id="6" w:name="tw-target-text_Copy_2_Copy_1_Copy_1"/>
            <w:bookmarkEnd w:id="6"/>
            <w:r>
              <w:rPr>
                <w:rFonts w:ascii="Cambria" w:hAnsi="Cambria"/>
                <w:b w:val="false"/>
                <w:i w:val="false"/>
                <w:caps w:val="false"/>
                <w:smallCaps w:val="false"/>
                <w:color w:val="1F1F1F"/>
                <w:spacing w:val="0"/>
                <w:sz w:val="20"/>
                <w:szCs w:val="20"/>
                <w:lang w:val="ro-RO"/>
              </w:rPr>
              <w:t>A hallgató matematikai és fizikai elveket kapcsol össze a kémia területén szerzett szaktudásának alkalmazása érdekében.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/>
                <w:i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 w:val="false"/>
                <w:bCs/>
                <w:i/>
                <w:iCs/>
                <w:caps w:val="false"/>
                <w:smallCaps w:val="false"/>
                <w:color w:val="1F1F1F"/>
                <w:spacing w:val="0"/>
                <w:sz w:val="20"/>
                <w:szCs w:val="20"/>
                <w:lang w:val="ro-RO"/>
              </w:rPr>
              <w:t>The student describes and integrates specific and interdisciplinary knowledge into their professional activity.</w:t>
            </w:r>
          </w:p>
        </w:tc>
      </w:tr>
      <w:tr>
        <w:trPr>
          <w:trHeight w:val="340" w:hRule="atLeast"/>
          <w:cantSplit w:val="true"/>
        </w:trPr>
        <w:tc>
          <w:tcPr>
            <w:tcW w:w="10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contextualSpacing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>
        <w:trPr>
          <w:trHeight w:val="444" w:hRule="atLeast"/>
          <w:cantSplit w:val="true"/>
        </w:trPr>
        <w:tc>
          <w:tcPr>
            <w:tcW w:w="10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reformattedText"/>
              <w:spacing w:lineRule="auto" w:line="240" w:before="0" w:after="0"/>
              <w:rPr>
                <w:rFonts w:ascii="inherit" w:hAnsi="inherit"/>
                <w:b w:val="false"/>
                <w:i w:val="false"/>
                <w:i w:val="false"/>
                <w:iCs w:val="false"/>
                <w:caps w:val="false"/>
                <w:smallCaps w:val="false"/>
                <w:color w:val="1F1F1F"/>
                <w:spacing w:val="0"/>
                <w:sz w:val="42"/>
                <w:lang w:val="hu-HU"/>
              </w:rPr>
            </w:pPr>
            <w:bookmarkStart w:id="7" w:name="tw-target-text_Copy_3_Copy_1_Copy_1"/>
            <w:bookmarkEnd w:id="7"/>
            <w:r>
              <w:rPr>
                <w:rFonts w:ascii="Cambria" w:hAnsi="Cambria"/>
                <w:b w:val="false"/>
                <w:i w:val="false"/>
                <w:iCs w:val="false"/>
                <w:caps w:val="false"/>
                <w:smallCaps w:val="false"/>
                <w:color w:val="1F1F1F"/>
                <w:spacing w:val="0"/>
                <w:sz w:val="20"/>
                <w:szCs w:val="20"/>
                <w:lang w:val="en-US"/>
              </w:rPr>
              <w:t>A hallgató matematikai és fizikai fogalmakat alkalmaz kísérleti adatok validálására, műszerek kalibrálására és a kémiai átalakulások prediktív modellezésére.</w:t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/>
                <w:i/>
                <w:i/>
                <w:iCs/>
                <w:sz w:val="20"/>
                <w:szCs w:val="20"/>
                <w:lang w:val="ro-RO"/>
              </w:rPr>
            </w:pPr>
            <w:r>
              <w:rPr>
                <w:rFonts w:ascii="Cambria" w:hAnsi="Cambria"/>
                <w:b w:val="false"/>
                <w:bCs w:val="false"/>
                <w:i/>
                <w:iCs/>
                <w:caps w:val="false"/>
                <w:smallCaps w:val="false"/>
                <w:color w:val="1F1F1F"/>
                <w:spacing w:val="0"/>
                <w:sz w:val="20"/>
                <w:szCs w:val="20"/>
                <w:lang w:val="ro-RO"/>
              </w:rPr>
              <w:t>The student applieds mathematical and physical concepts to validate experimental data, calibrate instruments, and perform predictive modeling of chemical transformations.</w:t>
            </w:r>
          </w:p>
        </w:tc>
      </w:tr>
    </w:tbl>
    <w:p>
      <w:pPr>
        <w:pStyle w:val="Normal"/>
        <w:spacing w:before="0" w:after="0"/>
        <w:ind w:hanging="426"/>
        <w:rPr>
          <w:rFonts w:ascii="Cambria" w:hAnsi="Cambria"/>
          <w:b/>
          <w:sz w:val="20"/>
          <w:szCs w:val="20"/>
          <w:lang w:val="hu-HU"/>
        </w:rPr>
      </w:pPr>
      <w:r>
        <w:rPr>
          <w:rFonts w:ascii="Cambria" w:hAnsi="Cambria"/>
          <w:b/>
          <w:sz w:val="20"/>
          <w:szCs w:val="20"/>
          <w:lang w:val="hu-HU"/>
        </w:rPr>
      </w:r>
    </w:p>
    <w:p>
      <w:pPr>
        <w:pStyle w:val="Normal"/>
        <w:spacing w:before="0" w:after="0"/>
        <w:ind w:hanging="426"/>
        <w:rPr>
          <w:rFonts w:ascii="Cambria" w:hAnsi="Cambria"/>
          <w:b/>
          <w:sz w:val="20"/>
          <w:szCs w:val="20"/>
          <w:lang w:val="hu-HU"/>
        </w:rPr>
      </w:pPr>
      <w:r>
        <w:rPr>
          <w:rFonts w:ascii="Cambria" w:hAnsi="Cambria"/>
          <w:b/>
          <w:sz w:val="20"/>
          <w:szCs w:val="20"/>
          <w:lang w:val="hu-HU"/>
        </w:rPr>
        <w:t>8. A tantárgy tartalma</w:t>
      </w:r>
    </w:p>
    <w:tbl>
      <w:tblPr>
        <w:tblW w:w="10488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771"/>
        <w:gridCol w:w="3418"/>
        <w:gridCol w:w="3299"/>
      </w:tblGrid>
      <w:tr>
        <w:trPr>
          <w:trHeight w:val="397" w:hRule="atLeast"/>
        </w:trPr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mbria" w:hAnsi="Cambria" w:eastAsia="Calibri" w:cs="Times New Roman"/>
                <w:b/>
                <w:kern w:val="0"/>
                <w:sz w:val="20"/>
                <w:szCs w:val="20"/>
                <w:lang w:val="hu-HU"/>
              </w:rPr>
            </w:pPr>
            <w:r>
              <w:rPr>
                <w:rFonts w:eastAsia="Calibri" w:cs="Times New Roman" w:ascii="Cambria" w:hAnsi="Cambria"/>
                <w:b/>
                <w:kern w:val="0"/>
                <w:sz w:val="20"/>
                <w:szCs w:val="20"/>
                <w:lang w:val="hu-HU"/>
              </w:rPr>
              <w:t>8.1 Előadás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mbria" w:hAnsi="Cambria" w:eastAsia="Calibri" w:cs="Times New Roman"/>
                <w:b/>
                <w:kern w:val="0"/>
                <w:sz w:val="20"/>
                <w:szCs w:val="20"/>
                <w:lang w:val="hu-HU"/>
              </w:rPr>
            </w:pPr>
            <w:r>
              <w:rPr>
                <w:rFonts w:eastAsia="Calibri" w:cs="Times New Roman" w:ascii="Cambria" w:hAnsi="Cambria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mbria" w:hAnsi="Cambria" w:eastAsia="Calibri" w:cs="Times New Roman"/>
                <w:b/>
                <w:kern w:val="0"/>
                <w:sz w:val="20"/>
                <w:szCs w:val="20"/>
                <w:lang w:val="hu-HU"/>
              </w:rPr>
            </w:pPr>
            <w:r>
              <w:rPr>
                <w:rFonts w:eastAsia="Calibri" w:cs="Times New Roman" w:ascii="Cambria" w:hAnsi="Cambria"/>
                <w:b/>
                <w:kern w:val="0"/>
                <w:sz w:val="20"/>
                <w:szCs w:val="20"/>
                <w:lang w:val="hu-HU"/>
              </w:rPr>
              <w:t>Megjegyzések</w:t>
            </w:r>
            <w:r>
              <w:rPr>
                <w:rStyle w:val="FootnoteReference"/>
                <w:rFonts w:eastAsia="Calibri" w:cs="Times New Roman" w:ascii="Cambria" w:hAnsi="Cambria"/>
                <w:b/>
                <w:kern w:val="0"/>
                <w:sz w:val="20"/>
                <w:szCs w:val="20"/>
                <w:lang w:val="hu-HU"/>
              </w:rPr>
              <w:footnoteReference w:id="4"/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  <w:lang w:val="pt-BR"/>
              </w:rPr>
              <w:t xml:space="preserve">8.1.1. </w:t>
            </w:r>
            <w:r>
              <w:rPr>
                <w:rFonts w:cs="Times New Roman" w:ascii="Cambria" w:hAnsi="Cambria"/>
                <w:b/>
                <w:sz w:val="20"/>
                <w:szCs w:val="20"/>
                <w:lang w:val="pt-BR"/>
              </w:rPr>
              <w:t>Lineáris terek.</w:t>
            </w:r>
            <w:r>
              <w:rPr>
                <w:rFonts w:cs="Times New Roman" w:ascii="Cambria" w:hAnsi="Cambria"/>
                <w:sz w:val="20"/>
                <w:szCs w:val="20"/>
                <w:lang w:val="pt-BR"/>
              </w:rPr>
              <w:t xml:space="preserve"> Lineáris terek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, lineáris alterek, lineárisan független vektorrendszerek, lineárisan függő vektorrendszerek, bázis, dimenzió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Előadás, bemutatás, szemléltetés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[4]  (a könyvészetből)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b w:val="false"/>
                <w:bCs w:val="false"/>
                <w:sz w:val="20"/>
                <w:szCs w:val="20"/>
                <w:lang w:val="hu-HU"/>
              </w:rPr>
              <w:t>8.1.2.</w:t>
            </w:r>
            <w:r>
              <w:rPr>
                <w:rFonts w:cs="Times New Roman" w:ascii="Cambria" w:hAnsi="Cambria"/>
                <w:b/>
                <w:bCs/>
                <w:sz w:val="20"/>
                <w:szCs w:val="20"/>
                <w:lang w:val="hu-HU"/>
              </w:rPr>
              <w:t xml:space="preserve"> </w:t>
            </w:r>
            <w:r>
              <w:rPr>
                <w:rFonts w:cs="Times New Roman" w:ascii="Cambria" w:hAnsi="Cambria"/>
                <w:b/>
                <w:bCs/>
                <w:sz w:val="20"/>
                <w:szCs w:val="20"/>
                <w:lang w:val="pt-BR"/>
              </w:rPr>
              <w:t>Lineáris</w:t>
            </w:r>
            <w:r>
              <w:rPr>
                <w:rFonts w:cs="Times New Roman" w:ascii="Cambria" w:hAnsi="Cambria"/>
                <w:b/>
                <w:bCs/>
                <w:sz w:val="20"/>
                <w:szCs w:val="20"/>
                <w:lang w:val="hu-HU"/>
              </w:rPr>
              <w:t xml:space="preserve"> transzformációk. </w:t>
            </w:r>
            <w:r>
              <w:rPr>
                <w:rFonts w:cs="Times New Roman" w:ascii="Cambria" w:hAnsi="Cambria"/>
                <w:b w:val="false"/>
                <w:bCs w:val="false"/>
                <w:sz w:val="20"/>
                <w:szCs w:val="20"/>
                <w:lang w:val="hu-HU"/>
              </w:rPr>
              <w:t>Li</w:t>
            </w:r>
            <w:r>
              <w:rPr>
                <w:rFonts w:cs="Times New Roman" w:ascii="Cambria" w:hAnsi="Cambria"/>
                <w:b w:val="false"/>
                <w:bCs w:val="false"/>
                <w:sz w:val="20"/>
                <w:szCs w:val="20"/>
                <w:lang w:val="en-US"/>
              </w:rPr>
              <w:t>ne</w:t>
            </w:r>
            <w:r>
              <w:rPr>
                <w:rFonts w:cs="Times New Roman" w:ascii="Cambria" w:hAnsi="Cambria"/>
                <w:b w:val="false"/>
                <w:bCs w:val="false"/>
                <w:sz w:val="20"/>
                <w:szCs w:val="20"/>
                <w:lang w:val="hu-HU"/>
              </w:rPr>
              <w:t>á-ris transzformáció, lineáris transzformá-ció magja és képtere, lineáris transzfor-máció sajátvektora és sajátértéke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Előadás, bemutatás, szemléltetés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[4]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 xml:space="preserve">8.1.3. </w:t>
            </w:r>
            <w:r>
              <w:rPr>
                <w:rStyle w:val="hps"/>
                <w:rFonts w:cs="Times New Roman" w:ascii="Cambria" w:hAnsi="Cambria"/>
                <w:b/>
                <w:sz w:val="20"/>
                <w:szCs w:val="20"/>
                <w:lang w:val="hu-HU"/>
              </w:rPr>
              <w:t>A tér analitikus geometriája.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 xml:space="preserve"> Pont, egyenes és sík algebrai jellemzése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Előadás, bemutatás, szemléltetés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[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5</w:t>
            </w:r>
            <w:r>
              <w:rPr>
                <w:rFonts w:cs="Times New Roman" w:ascii="Cambria" w:hAnsi="Cambria"/>
                <w:sz w:val="20"/>
                <w:szCs w:val="20"/>
              </w:rPr>
              <w:t>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8.1.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4</w:t>
            </w:r>
            <w:r>
              <w:rPr>
                <w:rFonts w:cs="Times New Roman" w:ascii="Cambria" w:hAnsi="Cambria"/>
                <w:sz w:val="20"/>
                <w:szCs w:val="20"/>
              </w:rPr>
              <w:t xml:space="preserve">. </w:t>
            </w:r>
            <w:r>
              <w:rPr>
                <w:rStyle w:val="hps"/>
                <w:rFonts w:cs="Times New Roman" w:ascii="Cambria" w:hAnsi="Cambria"/>
                <w:b/>
                <w:sz w:val="20"/>
                <w:szCs w:val="20"/>
                <w:lang w:val="hu-HU"/>
              </w:rPr>
              <w:t>A tér analitikus geometriája.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 xml:space="preserve"> 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E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gyenesre és síkra vonatkozó affin problémák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Előadás, bemutatás, szemléltetés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[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5</w:t>
            </w:r>
            <w:r>
              <w:rPr>
                <w:rFonts w:cs="Times New Roman" w:ascii="Cambria" w:hAnsi="Cambria"/>
                <w:sz w:val="20"/>
                <w:szCs w:val="20"/>
              </w:rPr>
              <w:t>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8.1.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5</w:t>
            </w:r>
            <w:r>
              <w:rPr>
                <w:rFonts w:cs="Times New Roman" w:ascii="Cambria" w:hAnsi="Cambria"/>
                <w:sz w:val="20"/>
                <w:szCs w:val="20"/>
              </w:rPr>
              <w:t xml:space="preserve">. </w:t>
            </w:r>
            <w:r>
              <w:rPr>
                <w:rFonts w:cs="Times New Roman" w:ascii="Cambria" w:hAnsi="Cambria"/>
                <w:b/>
                <w:sz w:val="20"/>
                <w:szCs w:val="20"/>
              </w:rPr>
              <w:t>V</w:t>
            </w:r>
            <w:r>
              <w:rPr>
                <w:rFonts w:cs="Times New Roman" w:ascii="Cambria" w:hAnsi="Cambria"/>
                <w:b/>
                <w:sz w:val="20"/>
                <w:szCs w:val="20"/>
                <w:lang w:val="es-ES"/>
              </w:rPr>
              <w:t>ektoralgebra.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 xml:space="preserve"> Ortonormált rendszerek, skaláris szorzat, vektori szorzat, 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 xml:space="preserve">vegyes szorzat,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pont és normálvektor által meghatározott sík, pontnak síktól mért távolsága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Előadás, bemutatás, szemléltetés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[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5</w:t>
            </w:r>
            <w:r>
              <w:rPr>
                <w:rFonts w:cs="Times New Roman" w:ascii="Cambria" w:hAnsi="Cambria"/>
                <w:sz w:val="20"/>
                <w:szCs w:val="20"/>
              </w:rPr>
              <w:t>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8.1.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 xml:space="preserve">6. </w:t>
            </w:r>
            <w:r>
              <w:rPr>
                <w:rFonts w:cs="Times New Roman" w:ascii="Cambria" w:hAnsi="Cambria"/>
                <w:b/>
                <w:sz w:val="20"/>
                <w:szCs w:val="20"/>
              </w:rPr>
              <w:t>Valós számsorozatok</w:t>
            </w:r>
            <w:r>
              <w:rPr>
                <w:rFonts w:cs="Times New Roman" w:ascii="Cambria" w:hAnsi="Cambria"/>
                <w:b/>
                <w:sz w:val="20"/>
                <w:szCs w:val="20"/>
                <w:lang w:val="es-ES"/>
              </w:rPr>
              <w:t>.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 xml:space="preserve"> Konvergens sorozatok,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 xml:space="preserve"> tulajdonságok, példák,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Ces</w:t>
            </w:r>
            <w:r>
              <w:rPr>
                <w:rFonts w:eastAsia="Arial" w:cs="Times New Roman" w:ascii="Cambria" w:hAnsi="Cambria"/>
                <w:sz w:val="20"/>
                <w:szCs w:val="20"/>
                <w:lang w:val="es-ES"/>
              </w:rPr>
              <w:t>à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ro-Stolz-féle lemma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Előadás, bemutatás, szemléltetés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[3]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 xml:space="preserve">8.1.7. </w:t>
            </w:r>
            <w:r>
              <w:rPr>
                <w:rFonts w:cs="Times New Roman" w:ascii="Cambria" w:hAnsi="Cambria"/>
                <w:b/>
                <w:sz w:val="20"/>
                <w:szCs w:val="20"/>
              </w:rPr>
              <w:t>Valós számsorok</w:t>
            </w:r>
            <w:r>
              <w:rPr>
                <w:rFonts w:cs="Times New Roman" w:ascii="Cambria" w:hAnsi="Cambria"/>
                <w:b/>
                <w:sz w:val="20"/>
                <w:szCs w:val="20"/>
                <w:lang w:val="es-ES"/>
              </w:rPr>
              <w:t>.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 xml:space="preserve">  Pozitív tagú számsorok, konvergencia kritériumok 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(hányados és gyök   kritériumok, Raabe-Duhamel-féle kritérium)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Előadás, bemutatás, szemléltetés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[3]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 xml:space="preserve">8.1.8. </w:t>
            </w:r>
            <w:r>
              <w:rPr>
                <w:rFonts w:cs="Times New Roman" w:ascii="Cambria" w:hAnsi="Cambria"/>
                <w:b/>
                <w:bCs/>
                <w:sz w:val="20"/>
                <w:szCs w:val="20"/>
                <w:lang w:val="hu-HU"/>
              </w:rPr>
              <w:t xml:space="preserve">Egyváltozós függvények határértéke. </w:t>
            </w:r>
            <w:r>
              <w:rPr>
                <w:rFonts w:cs="Times New Roman" w:ascii="Cambria" w:hAnsi="Cambria"/>
                <w:sz w:val="20"/>
                <w:szCs w:val="20"/>
                <w:lang w:val="fr-FR"/>
              </w:rPr>
              <w:t>V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alós változós valós függvények h</w:t>
            </w:r>
            <w:r>
              <w:rPr>
                <w:rFonts w:cs="Times New Roman" w:ascii="Cambria" w:hAnsi="Cambria"/>
                <w:sz w:val="20"/>
                <w:szCs w:val="20"/>
                <w:lang w:val="fr-FR"/>
              </w:rPr>
              <w:t xml:space="preserve">atárértéke, a 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h</w:t>
            </w:r>
            <w:r>
              <w:rPr>
                <w:rFonts w:cs="Times New Roman" w:ascii="Cambria" w:hAnsi="Cambria"/>
                <w:sz w:val="20"/>
                <w:szCs w:val="20"/>
                <w:lang w:val="fr-FR"/>
              </w:rPr>
              <w:t>atárérték jellemzése,  v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alós változós valós függvények</w:t>
            </w:r>
            <w:r>
              <w:rPr>
                <w:rFonts w:cs="Times New Roman" w:ascii="Cambria" w:hAnsi="Cambria"/>
                <w:sz w:val="20"/>
                <w:szCs w:val="20"/>
                <w:lang w:val="fr-FR"/>
              </w:rPr>
              <w:t xml:space="preserve"> folytonossága.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 xml:space="preserve"> </w:t>
            </w:r>
            <w:r>
              <w:rPr>
                <w:rFonts w:cs="Times New Roman" w:ascii="Cambria" w:hAnsi="Cambria"/>
                <w:b/>
                <w:bCs/>
                <w:sz w:val="20"/>
                <w:szCs w:val="20"/>
                <w:lang w:val="hu-HU"/>
              </w:rPr>
              <w:t>Euklidészi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 xml:space="preserve"> </w:t>
            </w:r>
            <w:r>
              <w:rPr>
                <w:rFonts w:cs="Times New Roman" w:ascii="Cambria" w:hAnsi="Cambria"/>
                <w:b/>
                <w:bCs/>
                <w:sz w:val="20"/>
                <w:szCs w:val="20"/>
                <w:lang w:val="hu-HU"/>
              </w:rPr>
              <w:t xml:space="preserve">tér. </w:t>
            </w:r>
            <w:r>
              <w:rPr>
                <w:rFonts w:cs="Times New Roman" w:ascii="Cambria" w:hAnsi="Cambria"/>
                <w:b w:val="false"/>
                <w:bCs w:val="false"/>
                <w:sz w:val="20"/>
                <w:szCs w:val="20"/>
                <w:lang w:val="hu-HU"/>
              </w:rPr>
              <w:t>Topológiai alapfogalmak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Előadás, bemutatás, szemléltetés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[3]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 xml:space="preserve">8.1.9. </w:t>
            </w:r>
            <w:r>
              <w:rPr>
                <w:rFonts w:cs="Times New Roman" w:ascii="Cambria" w:hAnsi="Cambria"/>
                <w:b/>
                <w:sz w:val="20"/>
                <w:szCs w:val="20"/>
                <w:lang w:val="hu-HU"/>
              </w:rPr>
              <w:t>Többváltozós függvények.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 xml:space="preserve"> Többváltozós függvények h</w:t>
            </w:r>
            <w:r>
              <w:rPr>
                <w:rFonts w:cs="Times New Roman" w:ascii="Cambria" w:hAnsi="Cambria"/>
                <w:sz w:val="20"/>
                <w:szCs w:val="20"/>
                <w:lang w:val="fr-FR"/>
              </w:rPr>
              <w:t xml:space="preserve">atárértéke, iterált 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h</w:t>
            </w:r>
            <w:r>
              <w:rPr>
                <w:rFonts w:cs="Times New Roman" w:ascii="Cambria" w:hAnsi="Cambria"/>
                <w:sz w:val="20"/>
                <w:szCs w:val="20"/>
                <w:lang w:val="fr-FR"/>
              </w:rPr>
              <w:t xml:space="preserve">atárértékek, a 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h</w:t>
            </w:r>
            <w:r>
              <w:rPr>
                <w:rFonts w:cs="Times New Roman" w:ascii="Cambria" w:hAnsi="Cambria"/>
                <w:sz w:val="20"/>
                <w:szCs w:val="20"/>
                <w:lang w:val="fr-FR"/>
              </w:rPr>
              <w:t>atárérték jellemzése, t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 xml:space="preserve">öbbváltozós függvények </w:t>
            </w:r>
            <w:r>
              <w:rPr>
                <w:rFonts w:cs="Times New Roman" w:ascii="Cambria" w:hAnsi="Cambria"/>
                <w:sz w:val="20"/>
                <w:szCs w:val="20"/>
                <w:lang w:val="fr-FR"/>
              </w:rPr>
              <w:t>folytonossága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Előadás, bemutatás, szemléltetés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[3]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8.1.10. 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Egyváltozós függvények differenciálszámítása. </w:t>
            </w:r>
            <w:r>
              <w:rPr>
                <w:rFonts w:ascii="Cambria" w:hAnsi="Cambria"/>
                <w:b w:val="false"/>
                <w:bCs w:val="false"/>
                <w:sz w:val="20"/>
                <w:szCs w:val="20"/>
                <w:lang w:val="hu-HU"/>
              </w:rPr>
              <w:t>A derivált és differenciál fogalma. Tulajdonságok. A  L’Hospital-féle szabály. Magasabb rendű deriváltak, a helyi szélsőérték pontok meghatározása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Előadás, bemutatás, szemléltetés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[3]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8.1.1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1</w:t>
            </w:r>
            <w:r>
              <w:rPr>
                <w:rFonts w:cs="Times New Roman" w:ascii="Cambria" w:hAnsi="Cambria"/>
                <w:sz w:val="20"/>
                <w:szCs w:val="20"/>
              </w:rPr>
              <w:t xml:space="preserve">. </w:t>
            </w:r>
            <w:r>
              <w:rPr>
                <w:rFonts w:cs="Times New Roman" w:ascii="Cambria" w:hAnsi="Cambria"/>
                <w:b/>
                <w:sz w:val="20"/>
                <w:szCs w:val="20"/>
                <w:lang w:val="hu-HU"/>
              </w:rPr>
              <w:t xml:space="preserve">Többváltozós függvények differenciálszámítása. 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 xml:space="preserve">Parciális deriváltak, iránymenti deriváltak,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 xml:space="preserve">Fréchet-féle differenciál, 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tulajdonságok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Előadás, bemutatás, szemléltetés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[3]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8.1.1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2</w:t>
            </w:r>
            <w:r>
              <w:rPr>
                <w:rFonts w:cs="Times New Roman" w:ascii="Cambria" w:hAnsi="Cambria"/>
                <w:sz w:val="20"/>
                <w:szCs w:val="20"/>
              </w:rPr>
              <w:t xml:space="preserve">. </w:t>
            </w:r>
            <w:r>
              <w:rPr>
                <w:rFonts w:cs="Times New Roman" w:ascii="Cambria" w:hAnsi="Cambria"/>
                <w:b/>
                <w:sz w:val="20"/>
                <w:szCs w:val="20"/>
                <w:lang w:val="hu-HU"/>
              </w:rPr>
              <w:t xml:space="preserve">Többváltozós függvények differenciálszámítása. 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Többváltozós összetett függvények parciális deriváltjainak kiszámítása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Előadás, bemutatás, szemléltetés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[3]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8.1.1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3</w:t>
            </w:r>
            <w:r>
              <w:rPr>
                <w:rFonts w:cs="Times New Roman" w:ascii="Cambria" w:hAnsi="Cambria"/>
                <w:sz w:val="20"/>
                <w:szCs w:val="20"/>
              </w:rPr>
              <w:t xml:space="preserve">. </w:t>
            </w:r>
            <w:r>
              <w:rPr>
                <w:rFonts w:cs="Times New Roman" w:ascii="Cambria" w:hAnsi="Cambria"/>
                <w:b/>
                <w:sz w:val="20"/>
                <w:szCs w:val="20"/>
                <w:lang w:val="hu-HU"/>
              </w:rPr>
              <w:t xml:space="preserve">Többváltozós függvények differenciálszámítása. 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 xml:space="preserve">Magasabb rendű parciális deriváltak, </w:t>
            </w:r>
            <w:r>
              <w:rPr>
                <w:rFonts w:cs="Times New Roman" w:ascii="Cambria" w:hAnsi="Cambria"/>
                <w:sz w:val="20"/>
                <w:szCs w:val="20"/>
              </w:rPr>
              <w:t xml:space="preserve">a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Schwarz-féle tétel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Előadás, bemutatás, szemléltetés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[3]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8.1.1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4</w:t>
            </w:r>
            <w:r>
              <w:rPr>
                <w:rFonts w:cs="Times New Roman" w:ascii="Cambria" w:hAnsi="Cambria"/>
                <w:sz w:val="20"/>
                <w:szCs w:val="20"/>
              </w:rPr>
              <w:t xml:space="preserve">. </w:t>
            </w:r>
            <w:r>
              <w:rPr>
                <w:rFonts w:cs="Times New Roman" w:ascii="Cambria" w:hAnsi="Cambria"/>
                <w:b/>
                <w:sz w:val="20"/>
                <w:szCs w:val="20"/>
                <w:lang w:val="hu-HU"/>
              </w:rPr>
              <w:t xml:space="preserve">Többváltozós függvények differenciálszámítása. 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Többváltozós függvények helyi szélsőérték pontjainak meghatározása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Előadás, bemutatás, szemléltetés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[3]</w:t>
            </w:r>
          </w:p>
        </w:tc>
      </w:tr>
      <w:tr>
        <w:trPr>
          <w:trHeight w:val="397" w:hRule="atLeast"/>
        </w:trPr>
        <w:tc>
          <w:tcPr>
            <w:tcW w:w="10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Könyvészet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rPr>
                <w:b w:val="false"/>
                <w:bCs w:val="false"/>
              </w:rPr>
            </w:pPr>
            <w:r>
              <w:rPr>
                <w:rFonts w:cs="Times New Roman" w:ascii="Cambria" w:hAnsi="Cambria"/>
                <w:b w:val="false"/>
                <w:bCs w:val="false"/>
                <w:sz w:val="20"/>
                <w:szCs w:val="20"/>
              </w:rPr>
              <w:t xml:space="preserve">Chiriţă S., </w:t>
            </w:r>
            <w:r>
              <w:rPr>
                <w:rFonts w:cs="Times New Roman" w:ascii="Cambria" w:hAnsi="Cambria"/>
                <w:b w:val="false"/>
                <w:bCs w:val="false"/>
                <w:i/>
                <w:sz w:val="20"/>
                <w:szCs w:val="20"/>
              </w:rPr>
              <w:t>Probleme de matematici superioare,</w:t>
            </w:r>
            <w:r>
              <w:rPr>
                <w:rFonts w:cs="Times New Roman" w:ascii="Cambria" w:hAnsi="Cambria"/>
                <w:b w:val="false"/>
                <w:bCs w:val="false"/>
                <w:sz w:val="20"/>
                <w:szCs w:val="20"/>
              </w:rPr>
              <w:t xml:space="preserve"> Editura Didactică și Pedagogică, Bucureşti, 1989.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rPr>
                <w:b w:val="false"/>
                <w:bCs w:val="false"/>
              </w:rPr>
            </w:pPr>
            <w:r>
              <w:rPr>
                <w:rFonts w:cs="Times New Roman" w:ascii="Cambria" w:hAnsi="Cambria"/>
                <w:b w:val="false"/>
                <w:bCs w:val="false"/>
                <w:sz w:val="20"/>
                <w:szCs w:val="20"/>
                <w:lang w:val="es-ES"/>
              </w:rPr>
              <w:t xml:space="preserve">Finta B. – Kiss E. – Bartha Zs., </w:t>
            </w:r>
            <w:r>
              <w:rPr>
                <w:rFonts w:cs="Times New Roman" w:ascii="Cambria" w:hAnsi="Cambria"/>
                <w:b w:val="false"/>
                <w:bCs w:val="false"/>
                <w:i/>
                <w:sz w:val="20"/>
                <w:szCs w:val="20"/>
                <w:lang w:val="es-ES"/>
              </w:rPr>
              <w:t>Algebrai struktúrák – feladatgyűjtemény</w:t>
            </w:r>
            <w:r>
              <w:rPr>
                <w:rFonts w:cs="Times New Roman" w:ascii="Cambria" w:hAnsi="Cambria"/>
                <w:b w:val="false"/>
                <w:bCs w:val="false"/>
                <w:sz w:val="20"/>
                <w:szCs w:val="20"/>
                <w:lang w:val="es-ES"/>
              </w:rPr>
              <w:t>, Scientia Kiadó, Kolozsvár, 2006.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rPr>
                <w:b w:val="false"/>
                <w:bCs w:val="false"/>
              </w:rPr>
            </w:pPr>
            <w:r>
              <w:rPr>
                <w:rFonts w:cs="Times New Roman" w:ascii="Cambria" w:hAnsi="Cambria"/>
                <w:b w:val="false"/>
                <w:bCs w:val="false"/>
                <w:sz w:val="20"/>
                <w:szCs w:val="20"/>
                <w:lang w:val="es-ES"/>
              </w:rPr>
              <w:t xml:space="preserve">Finta Z., </w:t>
            </w:r>
            <w:r>
              <w:rPr>
                <w:rFonts w:cs="Times New Roman" w:ascii="Cambria" w:hAnsi="Cambria"/>
                <w:b w:val="false"/>
                <w:bCs w:val="false"/>
                <w:i/>
                <w:sz w:val="20"/>
                <w:szCs w:val="20"/>
                <w:lang w:val="es-ES"/>
              </w:rPr>
              <w:t>Matematikai analízis</w:t>
            </w:r>
            <w:r>
              <w:rPr>
                <w:rFonts w:cs="Times New Roman" w:ascii="Cambria" w:hAnsi="Cambria"/>
                <w:b w:val="false"/>
                <w:bCs w:val="false"/>
                <w:sz w:val="20"/>
                <w:szCs w:val="20"/>
                <w:lang w:val="es-ES"/>
              </w:rPr>
              <w:t xml:space="preserve">, </w:t>
            </w:r>
            <w:r>
              <w:rPr>
                <w:rFonts w:cs="Times New Roman" w:ascii="Cambria" w:hAnsi="Cambria"/>
                <w:b w:val="false"/>
                <w:bCs w:val="false"/>
                <w:sz w:val="20"/>
                <w:szCs w:val="20"/>
                <w:lang w:val="hu-HU"/>
              </w:rPr>
              <w:t>Státus Kiadó</w:t>
            </w:r>
            <w:r>
              <w:rPr>
                <w:rFonts w:cs="Times New Roman" w:ascii="Cambria" w:hAnsi="Cambria"/>
                <w:b w:val="false"/>
                <w:bCs w:val="false"/>
                <w:sz w:val="20"/>
                <w:szCs w:val="20"/>
                <w:lang w:val="es-ES"/>
              </w:rPr>
              <w:t>, Csíkszereda, 2017.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rPr>
                <w:b w:val="false"/>
                <w:bCs w:val="false"/>
              </w:rPr>
            </w:pPr>
            <w:r>
              <w:rPr>
                <w:rFonts w:cs="Times New Roman" w:ascii="Cambria" w:hAnsi="Cambria"/>
                <w:b w:val="false"/>
                <w:bCs w:val="false"/>
                <w:sz w:val="20"/>
                <w:szCs w:val="20"/>
                <w:lang w:val="es-ES"/>
              </w:rPr>
              <w:t xml:space="preserve">Kuros A.G., </w:t>
            </w:r>
            <w:r>
              <w:rPr>
                <w:rFonts w:cs="Times New Roman" w:ascii="Cambria" w:hAnsi="Cambria"/>
                <w:b w:val="false"/>
                <w:bCs w:val="false"/>
                <w:i/>
                <w:sz w:val="20"/>
                <w:szCs w:val="20"/>
                <w:lang w:val="es-ES"/>
              </w:rPr>
              <w:t>Felsőbb algebra</w:t>
            </w:r>
            <w:r>
              <w:rPr>
                <w:rFonts w:cs="Times New Roman" w:ascii="Cambria" w:hAnsi="Cambria"/>
                <w:b w:val="false"/>
                <w:bCs w:val="false"/>
                <w:sz w:val="20"/>
                <w:szCs w:val="20"/>
                <w:lang w:val="es-ES"/>
              </w:rPr>
              <w:t>, Tankönyvkiadó, Budapest, 1978.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pacing w:before="0" w:after="160"/>
              <w:rPr>
                <w:b w:val="false"/>
                <w:bCs w:val="false"/>
              </w:rPr>
            </w:pPr>
            <w:r>
              <w:rPr>
                <w:rFonts w:eastAsia="Aptos" w:cs="Times New Roman" w:ascii="Cambria" w:hAnsi="Cambria"/>
                <w:b w:val="false"/>
                <w:bCs w:val="false"/>
                <w:sz w:val="20"/>
                <w:szCs w:val="20"/>
                <w:lang w:val="es-ES"/>
              </w:rPr>
              <w:t xml:space="preserve">Mezei I. – Varga Cs., </w:t>
            </w:r>
            <w:r>
              <w:rPr>
                <w:rFonts w:eastAsia="Aptos" w:cs="Times New Roman" w:ascii="Cambria" w:hAnsi="Cambria"/>
                <w:b w:val="false"/>
                <w:bCs w:val="false"/>
                <w:i/>
                <w:sz w:val="20"/>
                <w:szCs w:val="20"/>
                <w:lang w:val="es-ES"/>
              </w:rPr>
              <w:t>Analitikus geometria</w:t>
            </w:r>
            <w:r>
              <w:rPr>
                <w:rFonts w:eastAsia="Aptos" w:cs="Times New Roman" w:ascii="Cambria" w:hAnsi="Cambria"/>
                <w:b w:val="false"/>
                <w:bCs w:val="false"/>
                <w:sz w:val="20"/>
                <w:szCs w:val="20"/>
                <w:lang w:val="es-ES"/>
              </w:rPr>
              <w:t>, Kolozsvári Egyetemi Kiadó, Kolozsvár, 2010.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>
              <w:rPr>
                <w:rFonts w:eastAsia="Calibri" w:cs="Times New Roman" w:ascii="Cambria" w:hAnsi="Cambria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 xml:space="preserve">8.2.1. </w:t>
            </w:r>
            <w:r>
              <w:rPr>
                <w:rFonts w:cs="Times New Roman" w:ascii="Cambria" w:hAnsi="Cambria"/>
                <w:b/>
                <w:sz w:val="20"/>
                <w:szCs w:val="20"/>
                <w:lang w:val="pt-BR"/>
              </w:rPr>
              <w:t xml:space="preserve">Lineáris terek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–</w:t>
            </w:r>
            <w:r>
              <w:rPr>
                <w:rFonts w:cs="Times New Roman" w:ascii="Cambria" w:hAnsi="Cambria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cs="Times New Roman" w:ascii="Cambria" w:hAnsi="Cambria"/>
                <w:sz w:val="20"/>
                <w:szCs w:val="20"/>
                <w:lang w:val="pt-BR"/>
              </w:rPr>
              <w:t>gyakorlatok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Megbeszélés, vita, kérdezve kifejtés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[2]  (a könyvészetből)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 xml:space="preserve">8.2.2. </w:t>
            </w:r>
            <w:r>
              <w:rPr>
                <w:rFonts w:cs="Times New Roman" w:ascii="Cambria" w:hAnsi="Cambria"/>
                <w:b/>
                <w:sz w:val="20"/>
                <w:szCs w:val="20"/>
                <w:lang w:val="pt-BR"/>
              </w:rPr>
              <w:t xml:space="preserve">Lineáris transzformációk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–</w:t>
            </w:r>
            <w:r>
              <w:rPr>
                <w:rFonts w:cs="Times New Roman" w:ascii="Cambria" w:hAnsi="Cambria"/>
                <w:sz w:val="20"/>
                <w:szCs w:val="20"/>
                <w:lang w:val="pt-BR"/>
              </w:rPr>
              <w:t xml:space="preserve"> gyakorlatok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Megbeszélés, vita, kérdezve kifejtés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>
                <w:rFonts w:ascii="Cambria" w:hAnsi="Cambria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  <w:t>[2]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cs="Times New Roman" w:ascii="Cambria" w:hAnsi="Cambria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 xml:space="preserve">8.2.3. </w:t>
            </w:r>
            <w:r>
              <w:rPr>
                <w:rFonts w:cs="Times New Roman" w:ascii="Cambria" w:hAnsi="Cambria"/>
                <w:b/>
                <w:sz w:val="20"/>
                <w:szCs w:val="20"/>
              </w:rPr>
              <w:t>A tér analitikus geometriája</w:t>
            </w:r>
            <w:r>
              <w:rPr>
                <w:rFonts w:cs="Times New Roman" w:ascii="Cambria" w:hAnsi="Cambria"/>
                <w:sz w:val="20"/>
                <w:szCs w:val="20"/>
              </w:rPr>
              <w:t xml:space="preserve">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–</w:t>
            </w:r>
            <w:r>
              <w:rPr>
                <w:rFonts w:cs="Times New Roman" w:ascii="Cambria" w:hAnsi="Cambria"/>
                <w:sz w:val="20"/>
                <w:szCs w:val="20"/>
                <w:lang w:val="pt-BR"/>
              </w:rPr>
              <w:t xml:space="preserve"> gyakorlatok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Megbeszélés, vita, kérdezve kifejtés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[1]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8.2.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4</w:t>
            </w:r>
            <w:r>
              <w:rPr>
                <w:rFonts w:cs="Times New Roman" w:ascii="Cambria" w:hAnsi="Cambria"/>
                <w:sz w:val="20"/>
                <w:szCs w:val="20"/>
              </w:rPr>
              <w:t xml:space="preserve">. </w:t>
            </w:r>
            <w:r>
              <w:rPr>
                <w:rFonts w:cs="Times New Roman" w:ascii="Cambria" w:hAnsi="Cambria"/>
                <w:b/>
                <w:sz w:val="20"/>
                <w:szCs w:val="20"/>
              </w:rPr>
              <w:t>A tér analitikus geometriája</w:t>
            </w:r>
            <w:r>
              <w:rPr>
                <w:rFonts w:cs="Times New Roman" w:ascii="Cambria" w:hAnsi="Cambria"/>
                <w:sz w:val="20"/>
                <w:szCs w:val="20"/>
              </w:rPr>
              <w:t xml:space="preserve">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–</w:t>
            </w:r>
            <w:r>
              <w:rPr>
                <w:rFonts w:cs="Times New Roman" w:ascii="Cambria" w:hAnsi="Cambria"/>
                <w:sz w:val="20"/>
                <w:szCs w:val="20"/>
                <w:lang w:val="pt-BR"/>
              </w:rPr>
              <w:t xml:space="preserve"> gyakorlatok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Megbeszélés, vita, kérdezve kifejtés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[1]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8.2.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5</w:t>
            </w:r>
            <w:r>
              <w:rPr>
                <w:rFonts w:cs="Times New Roman" w:ascii="Cambria" w:hAnsi="Cambria"/>
                <w:sz w:val="20"/>
                <w:szCs w:val="20"/>
              </w:rPr>
              <w:t xml:space="preserve">. </w:t>
            </w:r>
            <w:r>
              <w:rPr>
                <w:rFonts w:cs="Times New Roman" w:ascii="Cambria" w:hAnsi="Cambria"/>
                <w:b/>
                <w:sz w:val="20"/>
                <w:szCs w:val="20"/>
              </w:rPr>
              <w:t>Vektoralgebra</w:t>
            </w:r>
            <w:r>
              <w:rPr>
                <w:rFonts w:cs="Times New Roman" w:ascii="Cambria" w:hAnsi="Cambria"/>
                <w:sz w:val="20"/>
                <w:szCs w:val="20"/>
              </w:rPr>
              <w:t xml:space="preserve">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–</w:t>
            </w:r>
            <w:r>
              <w:rPr>
                <w:rFonts w:cs="Times New Roman" w:ascii="Cambria" w:hAnsi="Cambria"/>
                <w:sz w:val="20"/>
                <w:szCs w:val="20"/>
                <w:lang w:val="pt-BR"/>
              </w:rPr>
              <w:t xml:space="preserve"> gyakorlatok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Megbeszélés, vita, kérdezve kifejtés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[1]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 xml:space="preserve">8.2.6. </w:t>
            </w:r>
            <w:r>
              <w:rPr>
                <w:rFonts w:cs="Times New Roman" w:ascii="Cambria" w:hAnsi="Cambria"/>
                <w:b/>
                <w:sz w:val="20"/>
                <w:szCs w:val="20"/>
              </w:rPr>
              <w:t xml:space="preserve">Valós számsorozatok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–</w:t>
            </w:r>
            <w:r>
              <w:rPr>
                <w:rFonts w:cs="Times New Roman" w:ascii="Cambria" w:hAnsi="Cambria"/>
                <w:sz w:val="20"/>
                <w:szCs w:val="20"/>
                <w:lang w:val="pt-BR"/>
              </w:rPr>
              <w:t xml:space="preserve"> gyakorlatok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Megbeszélés, vita, kérdezve kifejtés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[1]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 xml:space="preserve">8.2.7. </w:t>
            </w:r>
            <w:r>
              <w:rPr>
                <w:rFonts w:cs="Times New Roman" w:ascii="Cambria" w:hAnsi="Cambria"/>
                <w:b/>
                <w:sz w:val="20"/>
                <w:szCs w:val="20"/>
              </w:rPr>
              <w:t xml:space="preserve">Valós számsorok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–</w:t>
            </w:r>
            <w:r>
              <w:rPr>
                <w:rFonts w:cs="Times New Roman" w:ascii="Cambria" w:hAnsi="Cambria"/>
                <w:sz w:val="20"/>
                <w:szCs w:val="20"/>
                <w:lang w:val="pt-BR"/>
              </w:rPr>
              <w:t xml:space="preserve"> gyakorlatok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Megbeszélés, vita, kérdezve kifejtés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[1]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 xml:space="preserve">8.2.8. </w:t>
            </w:r>
            <w:r>
              <w:rPr>
                <w:rFonts w:cs="Times New Roman" w:ascii="Cambria" w:hAnsi="Cambria"/>
                <w:b/>
                <w:bCs/>
                <w:sz w:val="20"/>
                <w:szCs w:val="20"/>
                <w:lang w:val="hu-HU"/>
              </w:rPr>
              <w:t>Egyváltozós f</w:t>
            </w:r>
            <w:r>
              <w:rPr>
                <w:rFonts w:cs="Times New Roman" w:ascii="Cambria" w:hAnsi="Cambria"/>
                <w:b/>
                <w:sz w:val="20"/>
                <w:szCs w:val="20"/>
              </w:rPr>
              <w:t xml:space="preserve">üggvények határértéke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–</w:t>
            </w:r>
            <w:r>
              <w:rPr>
                <w:rFonts w:cs="Times New Roman" w:ascii="Cambria" w:hAnsi="Cambria"/>
                <w:sz w:val="20"/>
                <w:szCs w:val="20"/>
                <w:lang w:val="pt-BR"/>
              </w:rPr>
              <w:t xml:space="preserve"> gyakorlatok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Megbeszélés, vita, kérdezve kifejtés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[1]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 xml:space="preserve">8.2.9. </w:t>
            </w:r>
            <w:r>
              <w:rPr>
                <w:rFonts w:cs="Times New Roman" w:ascii="Cambria" w:hAnsi="Cambria"/>
                <w:b/>
                <w:sz w:val="20"/>
                <w:szCs w:val="20"/>
                <w:lang w:val="hu-HU"/>
              </w:rPr>
              <w:t xml:space="preserve">Többváltozós függvények határértéke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–</w:t>
            </w:r>
            <w:r>
              <w:rPr>
                <w:rFonts w:cs="Times New Roman" w:ascii="Cambria" w:hAnsi="Cambria"/>
                <w:sz w:val="20"/>
                <w:szCs w:val="20"/>
                <w:lang w:val="pt-BR"/>
              </w:rPr>
              <w:t xml:space="preserve"> gyakorlatok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Megbeszélés, vita, kérdezve kifejtés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[1]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8.2.1</w:t>
            </w:r>
            <w:r>
              <w:rPr>
                <w:rFonts w:cs="Times New Roman" w:ascii="Cambria" w:hAnsi="Cambria"/>
                <w:sz w:val="20"/>
                <w:szCs w:val="20"/>
                <w:lang w:val="en-US"/>
              </w:rPr>
              <w:t>0</w:t>
            </w: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 xml:space="preserve">. </w:t>
            </w:r>
            <w:r>
              <w:rPr>
                <w:rFonts w:cs="Times New Roman" w:ascii="Cambria" w:hAnsi="Cambria"/>
                <w:b/>
                <w:bCs/>
                <w:sz w:val="20"/>
                <w:szCs w:val="20"/>
                <w:lang w:val="hu-HU"/>
              </w:rPr>
              <w:t>Egy</w:t>
            </w:r>
            <w:r>
              <w:rPr>
                <w:rFonts w:cs="Times New Roman" w:ascii="Cambria" w:hAnsi="Cambria"/>
                <w:b/>
                <w:sz w:val="20"/>
                <w:szCs w:val="20"/>
                <w:lang w:val="hu-HU"/>
              </w:rPr>
              <w:t xml:space="preserve">változós függvények differenciálszámítása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–</w:t>
            </w:r>
            <w:r>
              <w:rPr>
                <w:rFonts w:cs="Times New Roman" w:ascii="Cambria" w:hAnsi="Cambria"/>
                <w:sz w:val="20"/>
                <w:szCs w:val="20"/>
                <w:lang w:val="pt-BR"/>
              </w:rPr>
              <w:t xml:space="preserve"> gyakorlatok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Megbeszélés, vita, kérdezve kifejtés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[1]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 xml:space="preserve">8.2.11. </w:t>
            </w:r>
            <w:r>
              <w:rPr>
                <w:rFonts w:cs="Times New Roman" w:ascii="Cambria" w:hAnsi="Cambria"/>
                <w:b/>
                <w:sz w:val="20"/>
                <w:szCs w:val="20"/>
                <w:lang w:val="hu-HU"/>
              </w:rPr>
              <w:t xml:space="preserve">Többváltozós függvények differenciálszámítása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–</w:t>
            </w:r>
            <w:r>
              <w:rPr>
                <w:rFonts w:cs="Times New Roman" w:ascii="Cambria" w:hAnsi="Cambria"/>
                <w:sz w:val="20"/>
                <w:szCs w:val="20"/>
                <w:lang w:val="pt-BR"/>
              </w:rPr>
              <w:t xml:space="preserve"> gyakorlatok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Megbeszélés, vita, kérdezve kifejtés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[1]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 xml:space="preserve">8.2.12. </w:t>
            </w:r>
            <w:r>
              <w:rPr>
                <w:rFonts w:cs="Times New Roman" w:ascii="Cambria" w:hAnsi="Cambria"/>
                <w:b/>
                <w:sz w:val="20"/>
                <w:szCs w:val="20"/>
                <w:lang w:val="hu-HU"/>
              </w:rPr>
              <w:t xml:space="preserve">Többváltozós függvények differenciálszámítása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–</w:t>
            </w:r>
            <w:r>
              <w:rPr>
                <w:rFonts w:cs="Times New Roman" w:ascii="Cambria" w:hAnsi="Cambria"/>
                <w:sz w:val="20"/>
                <w:szCs w:val="20"/>
                <w:lang w:val="pt-BR"/>
              </w:rPr>
              <w:t xml:space="preserve"> gyakorlatok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Megbeszélés, vita, kérdezve kifejtés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[1]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 xml:space="preserve">8.2.13. </w:t>
            </w:r>
            <w:r>
              <w:rPr>
                <w:rFonts w:cs="Times New Roman" w:ascii="Cambria" w:hAnsi="Cambria"/>
                <w:b/>
                <w:sz w:val="20"/>
                <w:szCs w:val="20"/>
                <w:lang w:val="hu-HU"/>
              </w:rPr>
              <w:t xml:space="preserve">Többváltozós függvények differenciálszámítása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–</w:t>
            </w:r>
            <w:r>
              <w:rPr>
                <w:rFonts w:cs="Times New Roman" w:ascii="Cambria" w:hAnsi="Cambria"/>
                <w:sz w:val="20"/>
                <w:szCs w:val="20"/>
                <w:lang w:val="pt-BR"/>
              </w:rPr>
              <w:t xml:space="preserve"> gyakorlatok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Megbeszélés, vita, kérdezve kifejtés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[1]</w:t>
            </w:r>
          </w:p>
        </w:tc>
      </w:tr>
      <w:tr>
        <w:trPr>
          <w:trHeight w:val="397" w:hRule="atLeast"/>
        </w:trPr>
        <w:tc>
          <w:tcPr>
            <w:tcW w:w="3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 xml:space="preserve">8.2.14. </w:t>
            </w:r>
            <w:r>
              <w:rPr>
                <w:rFonts w:cs="Times New Roman" w:ascii="Cambria" w:hAnsi="Cambria"/>
                <w:b/>
                <w:sz w:val="20"/>
                <w:szCs w:val="20"/>
                <w:lang w:val="hu-HU"/>
              </w:rPr>
              <w:t xml:space="preserve">Többváltozós függvények differenciálszámítása </w:t>
            </w:r>
            <w:r>
              <w:rPr>
                <w:rFonts w:cs="Times New Roman" w:ascii="Cambria" w:hAnsi="Cambria"/>
                <w:sz w:val="20"/>
                <w:szCs w:val="20"/>
                <w:lang w:val="es-ES"/>
              </w:rPr>
              <w:t>–</w:t>
            </w:r>
            <w:r>
              <w:rPr>
                <w:rFonts w:cs="Times New Roman" w:ascii="Cambria" w:hAnsi="Cambria"/>
                <w:sz w:val="20"/>
                <w:szCs w:val="20"/>
                <w:lang w:val="pt-BR"/>
              </w:rPr>
              <w:t xml:space="preserve"> gyakorlatok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Megbeszélés, vita, kérdezve kifejtés</w:t>
            </w:r>
          </w:p>
        </w:tc>
        <w:tc>
          <w:tcPr>
            <w:tcW w:w="3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[1]</w:t>
            </w:r>
          </w:p>
        </w:tc>
      </w:tr>
      <w:tr>
        <w:trPr>
          <w:trHeight w:val="397" w:hRule="atLeast"/>
        </w:trPr>
        <w:tc>
          <w:tcPr>
            <w:tcW w:w="10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="0" w:after="160"/>
              <w:rPr/>
            </w:pPr>
            <w:r>
              <w:rPr>
                <w:rFonts w:eastAsia="Aptos" w:cs="Times New Roman" w:ascii="Cambria" w:hAnsi="Cambria"/>
                <w:b/>
                <w:bCs/>
                <w:sz w:val="20"/>
                <w:szCs w:val="20"/>
                <w:lang w:val="ro-RO"/>
              </w:rPr>
              <w:t>Könyvészet</w:t>
            </w:r>
          </w:p>
        </w:tc>
      </w:tr>
      <w:tr>
        <w:trPr>
          <w:trHeight w:val="397" w:hRule="atLeast"/>
        </w:trPr>
        <w:tc>
          <w:tcPr>
            <w:tcW w:w="104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numPr>
                <w:ilvl w:val="0"/>
                <w:numId w:val="3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eastAsia="Aptos" w:cs="Times New Roman" w:ascii="Cambria" w:hAnsi="Cambria"/>
                <w:sz w:val="20"/>
                <w:szCs w:val="20"/>
                <w:lang w:val="ro-RO"/>
              </w:rPr>
              <w:t xml:space="preserve">Chiriţă S., </w:t>
            </w:r>
            <w:r>
              <w:rPr>
                <w:rFonts w:eastAsia="Aptos" w:cs="Times New Roman" w:ascii="Cambria" w:hAnsi="Cambria"/>
                <w:i/>
                <w:sz w:val="20"/>
                <w:szCs w:val="20"/>
                <w:lang w:val="ro-RO"/>
              </w:rPr>
              <w:t>Probleme de matematici superioare,</w:t>
            </w:r>
            <w:r>
              <w:rPr>
                <w:rFonts w:eastAsia="Aptos" w:cs="Times New Roman" w:ascii="Cambria" w:hAnsi="Cambria"/>
                <w:sz w:val="20"/>
                <w:szCs w:val="20"/>
                <w:lang w:val="ro-RO"/>
              </w:rPr>
              <w:t xml:space="preserve"> Editura Didactică și Pedagogică, Bucureşti, 1989.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eastAsia="Aptos" w:cs="Times New Roman" w:ascii="Cambria" w:hAnsi="Cambria"/>
                <w:sz w:val="20"/>
                <w:szCs w:val="20"/>
                <w:lang w:val="es-ES"/>
              </w:rPr>
              <w:t xml:space="preserve">Finta B. – Kiss E. – Bartha Zs., </w:t>
            </w:r>
            <w:r>
              <w:rPr>
                <w:rFonts w:eastAsia="Aptos" w:cs="Times New Roman" w:ascii="Cambria" w:hAnsi="Cambria"/>
                <w:i/>
                <w:sz w:val="20"/>
                <w:szCs w:val="20"/>
                <w:lang w:val="es-ES"/>
              </w:rPr>
              <w:t>Algebrai struktúrák – feladatgyűjtemény</w:t>
            </w:r>
            <w:r>
              <w:rPr>
                <w:rFonts w:eastAsia="Aptos" w:cs="Times New Roman" w:ascii="Cambria" w:hAnsi="Cambria"/>
                <w:sz w:val="20"/>
                <w:szCs w:val="20"/>
                <w:lang w:val="es-ES"/>
              </w:rPr>
              <w:t>, Scientia Kiadó, Kolozsvár, 2006.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eastAsia="Aptos" w:cs="Times New Roman" w:ascii="Cambria" w:hAnsi="Cambria"/>
                <w:sz w:val="20"/>
                <w:szCs w:val="20"/>
                <w:lang w:val="es-ES"/>
              </w:rPr>
              <w:t xml:space="preserve">Finta Z., </w:t>
            </w:r>
            <w:r>
              <w:rPr>
                <w:rFonts w:eastAsia="Aptos" w:cs="Times New Roman" w:ascii="Cambria" w:hAnsi="Cambria"/>
                <w:i/>
                <w:sz w:val="20"/>
                <w:szCs w:val="20"/>
                <w:lang w:val="es-ES"/>
              </w:rPr>
              <w:t>Matematikai analízis</w:t>
            </w:r>
            <w:r>
              <w:rPr>
                <w:rFonts w:eastAsia="Aptos" w:cs="Times New Roman" w:ascii="Cambria" w:hAnsi="Cambria"/>
                <w:sz w:val="20"/>
                <w:szCs w:val="20"/>
                <w:lang w:val="es-ES"/>
              </w:rPr>
              <w:t xml:space="preserve">, </w:t>
            </w:r>
            <w:r>
              <w:rPr>
                <w:rFonts w:eastAsia="Aptos" w:cs="Times New Roman" w:ascii="Cambria" w:hAnsi="Cambria"/>
                <w:sz w:val="20"/>
                <w:szCs w:val="20"/>
                <w:lang w:val="hu-HU"/>
              </w:rPr>
              <w:t>Státus Kiadó</w:t>
            </w:r>
            <w:r>
              <w:rPr>
                <w:rFonts w:eastAsia="Aptos" w:cs="Times New Roman" w:ascii="Cambria" w:hAnsi="Cambria"/>
                <w:sz w:val="20"/>
                <w:szCs w:val="20"/>
                <w:lang w:val="es-ES"/>
              </w:rPr>
              <w:t>, Csíkszereda, 2017.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spacing w:before="0" w:after="160"/>
              <w:rPr/>
            </w:pPr>
            <w:r>
              <w:rPr>
                <w:rFonts w:eastAsia="Aptos" w:cs="Times New Roman" w:ascii="Cambria" w:hAnsi="Cambria"/>
                <w:sz w:val="20"/>
                <w:szCs w:val="20"/>
                <w:lang w:val="es-ES"/>
              </w:rPr>
              <w:t xml:space="preserve">Mezei I. – Varga Cs., </w:t>
            </w:r>
            <w:r>
              <w:rPr>
                <w:rFonts w:eastAsia="Aptos" w:cs="Times New Roman" w:ascii="Cambria" w:hAnsi="Cambria"/>
                <w:i/>
                <w:sz w:val="20"/>
                <w:szCs w:val="20"/>
                <w:lang w:val="es-ES"/>
              </w:rPr>
              <w:t>Analitikus geometria</w:t>
            </w:r>
            <w:r>
              <w:rPr>
                <w:rFonts w:eastAsia="Aptos" w:cs="Times New Roman" w:ascii="Cambria" w:hAnsi="Cambria"/>
                <w:sz w:val="20"/>
                <w:szCs w:val="20"/>
                <w:lang w:val="es-ES"/>
              </w:rPr>
              <w:t>, Kolozsvári Egyetemi Kiadó, Kolozsvár, 2010.</w:t>
            </w:r>
          </w:p>
        </w:tc>
      </w:tr>
    </w:tbl>
    <w:p>
      <w:pPr>
        <w:pStyle w:val="Normal"/>
        <w:spacing w:before="0" w:after="0"/>
        <w:ind w:hanging="425"/>
        <w:rPr>
          <w:rFonts w:ascii="Cambria" w:hAnsi="Cambria"/>
          <w:sz w:val="20"/>
          <w:szCs w:val="20"/>
          <w:lang w:val="hu-HU"/>
        </w:rPr>
      </w:pPr>
      <w:r>
        <w:rPr>
          <w:rFonts w:ascii="Cambria" w:hAnsi="Cambria"/>
          <w:sz w:val="20"/>
          <w:szCs w:val="20"/>
          <w:lang w:val="hu-HU"/>
        </w:rPr>
      </w:r>
    </w:p>
    <w:p>
      <w:pPr>
        <w:pStyle w:val="Normal"/>
        <w:spacing w:before="0" w:after="0"/>
        <w:ind w:hanging="425"/>
        <w:rPr>
          <w:rFonts w:ascii="Cambria" w:hAnsi="Cambria"/>
          <w:sz w:val="20"/>
          <w:szCs w:val="20"/>
          <w:lang w:val="hu-HU"/>
        </w:rPr>
      </w:pPr>
      <w:r>
        <w:rPr>
          <w:rFonts w:ascii="Cambria" w:hAnsi="Cambria"/>
          <w:b/>
          <w:sz w:val="20"/>
          <w:szCs w:val="20"/>
          <w:lang w:val="hu-HU"/>
        </w:rPr>
        <w:t>9. Értékelés</w:t>
      </w:r>
    </w:p>
    <w:tbl>
      <w:tblPr>
        <w:tblW w:w="10492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269"/>
        <w:gridCol w:w="2835"/>
        <w:gridCol w:w="2692"/>
        <w:gridCol w:w="2695"/>
      </w:tblGrid>
      <w:tr>
        <w:trPr>
          <w:trHeight w:val="284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9.1 Értékelési kritériumok</w:t>
            </w:r>
            <w:r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9.2 Értékelési módszerek</w:t>
            </w:r>
            <w:r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6"/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9.3 Aránya a végső jegyben</w:t>
            </w:r>
          </w:p>
        </w:tc>
      </w:tr>
      <w:tr>
        <w:trPr>
          <w:trHeight w:val="284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Az alapvető elméleti eredmények alkalmazása konkrét feladatok megoldásában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Írásbeli vizsga a félév végén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50 %</w:t>
            </w:r>
          </w:p>
        </w:tc>
      </w:tr>
      <w:tr>
        <w:trPr>
          <w:trHeight w:val="284" w:hRule="atLeast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9.5 Szeminárium/</w:t>
            </w:r>
          </w:p>
          <w:p>
            <w:pPr>
              <w:pStyle w:val="Normal"/>
              <w:spacing w:lineRule="auto" w:line="240" w:before="0" w:after="0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Gyakorlati kérdések megoldása az elméleti eredmények alapján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left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Írásbeli vizsga a félév végén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Cambria" w:hAnsi="Cambria"/>
                <w:sz w:val="20"/>
                <w:szCs w:val="20"/>
                <w:lang w:val="hu-HU"/>
              </w:rPr>
              <w:t>50 %</w:t>
            </w:r>
          </w:p>
        </w:tc>
      </w:tr>
      <w:tr>
        <w:trPr>
          <w:trHeight w:val="284" w:hRule="atLeast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9.6 A teljesítmény minimumkövetelményei</w:t>
            </w:r>
          </w:p>
        </w:tc>
      </w:tr>
      <w:tr>
        <w:trPr>
          <w:trHeight w:val="284" w:hRule="atLeast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>
                <w:rFonts w:cs="Times New Roman" w:ascii="Cambria" w:hAnsi="Cambria"/>
                <w:sz w:val="20"/>
                <w:szCs w:val="20"/>
              </w:rPr>
              <w:t>Az előadáson és szemináriumon való aktív részvétel</w:t>
            </w:r>
          </w:p>
        </w:tc>
      </w:tr>
    </w:tbl>
    <w:p>
      <w:pPr>
        <w:pStyle w:val="Normal"/>
        <w:spacing w:before="0" w:after="0"/>
        <w:ind w:hanging="425"/>
        <w:rPr>
          <w:rFonts w:ascii="Cambria" w:hAnsi="Cambria"/>
          <w:b/>
          <w:sz w:val="20"/>
          <w:szCs w:val="20"/>
          <w:lang w:val="hu-HU"/>
        </w:rPr>
      </w:pPr>
      <w:r>
        <w:rPr>
          <w:rFonts w:ascii="Cambria" w:hAnsi="Cambria"/>
          <w:b/>
          <w:sz w:val="20"/>
          <w:szCs w:val="20"/>
          <w:lang w:val="hu-HU"/>
        </w:rPr>
      </w:r>
    </w:p>
    <w:p>
      <w:pPr>
        <w:pStyle w:val="Normal"/>
        <w:spacing w:before="0" w:after="0"/>
        <w:ind w:hanging="425"/>
        <w:rPr>
          <w:rFonts w:ascii="Cambria" w:hAnsi="Cambria"/>
          <w:sz w:val="20"/>
          <w:szCs w:val="20"/>
          <w:lang w:val="hu-HU"/>
        </w:rPr>
      </w:pPr>
      <w:r>
        <w:rPr>
          <w:rFonts w:ascii="Cambria" w:hAnsi="Cambria"/>
          <w:b/>
          <w:sz w:val="20"/>
          <w:szCs w:val="20"/>
          <w:lang w:val="hu-HU"/>
        </w:rPr>
        <w:t xml:space="preserve">10. SDG-ikonok (Fenntartható fejlődési célok/ </w:t>
      </w:r>
      <w:r>
        <w:rPr>
          <w:rFonts w:ascii="Cambria" w:hAnsi="Cambria"/>
          <w:b/>
          <w:sz w:val="18"/>
          <w:szCs w:val="18"/>
          <w:lang w:val="hu-HU"/>
        </w:rPr>
        <w:t>Sustainable Development Goals</w:t>
      </w:r>
      <w:r>
        <w:rPr>
          <w:rFonts w:ascii="Cambria" w:hAnsi="Cambria"/>
          <w:b/>
          <w:sz w:val="20"/>
          <w:szCs w:val="20"/>
          <w:lang w:val="hu-HU"/>
        </w:rPr>
        <w:t>)</w:t>
      </w:r>
      <w:r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7"/>
      </w:r>
    </w:p>
    <w:tbl>
      <w:tblPr>
        <w:tblStyle w:val="Tabelgril"/>
        <w:tblW w:w="10491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65"/>
        <w:gridCol w:w="536"/>
        <w:gridCol w:w="630"/>
        <w:gridCol w:w="1165"/>
        <w:gridCol w:w="1166"/>
        <w:gridCol w:w="1165"/>
        <w:gridCol w:w="1167"/>
        <w:gridCol w:w="1164"/>
        <w:gridCol w:w="1167"/>
        <w:gridCol w:w="1165"/>
      </w:tblGrid>
      <w:tr>
        <w:trPr>
          <w:trHeight w:val="1037" w:hRule="atLeast"/>
        </w:trPr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1" name="Imagine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ine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mbria" w:hAnsi="Cambria"/>
              </w:rPr>
            </w:pPr>
            <w:r>
              <w:rPr/>
              <w:obj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control_shape_0" o:allowincell="t" style="width:12.85pt;height:18.1pt" type="#_x0000_t75"/>
                <w:control r:id="rId3" w:name="OptionButton117" w:shapeid="control_shape_0"/>
              </w:object>
            </w:r>
          </w:p>
        </w:tc>
        <w:tc>
          <w:tcPr>
            <w:tcW w:w="8789" w:type="dxa"/>
            <w:gridSpan w:val="8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mbria" w:hAnsi="Cambria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eastAsia="ro-RO" w:bidi="ar-SA"/>
              </w:rPr>
              <w:t>Eticheta generală pentru Dezvoltare durabilă</w:t>
            </w:r>
          </w:p>
        </w:tc>
      </w:tr>
      <w:tr>
        <w:trPr>
          <w:trHeight w:val="1124" w:hRule="atLeast"/>
        </w:trPr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537"/>
              <w:jc w:val="left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604520" cy="612140"/>
                  <wp:effectExtent l="0" t="0" r="0" b="0"/>
                  <wp:docPr id="2" name="Imagine 3" descr="O imagine care conține text, Font, roșu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ine 3" descr="O imagine care conține text, Font, roșu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520" cy="612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603885" cy="611505"/>
                  <wp:effectExtent l="0" t="0" r="0" b="0"/>
                  <wp:docPr id="3" name="Imagine 5" descr="O imagine care conține Font, siglă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5" descr="O imagine care conține Font, siglă, proiectare, captură de ecra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595630" cy="611505"/>
                  <wp:effectExtent l="0" t="0" r="0" b="0"/>
                  <wp:docPr id="4" name="Imagine 13" descr="O imagine care conține text, Font, verd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13" descr="O imagine care conține text, Font, verde, captură de ecra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600710" cy="611505"/>
                  <wp:effectExtent l="0" t="0" r="0" b="0"/>
                  <wp:docPr id="5" name="Imagine 14" descr="O imagine care conține text, siglă, roșu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ine 14" descr="O imagine care conține text, siglă, roșu, Font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593725" cy="611505"/>
                  <wp:effectExtent l="0" t="0" r="0" b="0"/>
                  <wp:docPr id="6" name="Imagine 15" descr="O imagine care conține text, captură de ecran, Font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15" descr="O imagine care conține text, captură de ecran, Font, sigl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594995" cy="611505"/>
                  <wp:effectExtent l="0" t="0" r="0" b="0"/>
                  <wp:docPr id="7" name="Imagine 16" descr="O imagine care conține captură de ecran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16" descr="O imagine care conține captură de ecran, siglă, Font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596900" cy="611505"/>
                  <wp:effectExtent l="0" t="0" r="0" b="0"/>
                  <wp:docPr id="8" name="Imagine 17" descr="O imagine care conține text, Font, captură de ecran, galbe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17" descr="O imagine care conține text, Font, captură de ecran, galbe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587375" cy="611505"/>
                  <wp:effectExtent l="0" t="0" r="0" b="0"/>
                  <wp:docPr id="9" name="Imagine 18" descr="O imagine care conține text, Font, captură de ecran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18" descr="O imagine care conține text, Font, captură de ecran, sigl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625475" cy="611505"/>
                  <wp:effectExtent l="0" t="0" r="0" b="0"/>
                  <wp:docPr id="10" name="Imagine 10" descr="O imagine care conține proiectare, captură de ecran, tex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10" descr="O imagine care conține proiectare, captură de ecran, text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397" w:hRule="atLeast"/>
        </w:trPr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1" o:allowincell="t" style="width:12.85pt;height:18.1pt" type="#_x0000_t75"/>
                <w:control r:id="rId13" w:name="OptionButton1" w:shapeid="control_shape_1"/>
              </w:object>
            </w:r>
          </w:p>
        </w:tc>
        <w:tc>
          <w:tcPr>
            <w:tcW w:w="1166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2" o:allowincell="t" style="width:12.85pt;height:18.1pt" type="#_x0000_t75"/>
                <w:control r:id="rId14" w:name="OptionButton11" w:shapeid="control_shape_2"/>
              </w:object>
            </w:r>
          </w:p>
        </w:tc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3" o:allowincell="t" style="width:12.85pt;height:18.1pt" type="#_x0000_t75"/>
                <w:control r:id="rId15" w:name="OptionButton12" w:shapeid="control_shape_3"/>
              </w:object>
            </w:r>
          </w:p>
        </w:tc>
        <w:tc>
          <w:tcPr>
            <w:tcW w:w="116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4" o:allowincell="t" style="width:12.85pt;height:18.1pt" type="#_x0000_t75"/>
                <w:control r:id="rId16" w:name="OptionButton13" w:shapeid="control_shape_4"/>
              </w:object>
            </w:r>
          </w:p>
        </w:tc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5" o:allowincell="t" style="width:12.85pt;height:18.1pt" type="#_x0000_t75"/>
                <w:control r:id="rId17" w:name="OptionButton14" w:shapeid="control_shape_5"/>
              </w:object>
            </w:r>
          </w:p>
        </w:tc>
        <w:tc>
          <w:tcPr>
            <w:tcW w:w="116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6" o:allowincell="t" style="width:12.85pt;height:18.1pt" type="#_x0000_t75"/>
                <w:control r:id="rId18" w:name="OptionButton15" w:shapeid="control_shape_6"/>
              </w:object>
            </w:r>
          </w:p>
        </w:tc>
        <w:tc>
          <w:tcPr>
            <w:tcW w:w="116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7" o:allowincell="t" style="width:12.85pt;height:18.1pt" type="#_x0000_t75"/>
                <w:control r:id="rId19" w:name="OptionButton16" w:shapeid="control_shape_7"/>
              </w:object>
            </w:r>
          </w:p>
        </w:tc>
        <w:tc>
          <w:tcPr>
            <w:tcW w:w="116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8" o:allowincell="t" style="width:12.85pt;height:18.1pt" type="#_x0000_t75"/>
                <w:control r:id="rId20" w:name="OptionButton17" w:shapeid="control_shape_8"/>
              </w:object>
            </w:r>
          </w:p>
        </w:tc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9" o:allowincell="t" style="width:12.85pt;height:18.1pt" type="#_x0000_t75"/>
                <w:control r:id="rId21" w:name="OptionButton18" w:shapeid="control_shape_9"/>
              </w:object>
            </w:r>
          </w:p>
        </w:tc>
      </w:tr>
      <w:tr>
        <w:trPr>
          <w:trHeight w:val="1124" w:hRule="atLeast"/>
        </w:trPr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599440" cy="611505"/>
                  <wp:effectExtent l="0" t="0" r="0" b="0"/>
                  <wp:docPr id="11" name="Imagine 11" descr="O imagine care conține text, captură de ecran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1" descr="O imagine care conține text, captură de ecran, Font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599440" cy="611505"/>
                  <wp:effectExtent l="0" t="0" r="0" b="0"/>
                  <wp:docPr id="12" name="Imagine 12" descr="O imagine care conține text, Font, captură de ecran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2" descr="O imagine care conține text, Font, captură de ecran, proiectare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594995" cy="611505"/>
                  <wp:effectExtent l="0" t="0" r="0" b="0"/>
                  <wp:docPr id="13" name="Imagine 6" descr="O imagine care conține Font, text, captură de ecran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6" descr="O imagine care conține Font, text, captură de ecran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601345" cy="611505"/>
                  <wp:effectExtent l="0" t="0" r="0" b="0"/>
                  <wp:docPr id="14" name="Imagine 7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7" descr="O imagine care conține text, Font, Grafică, sigl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600075" cy="611505"/>
                  <wp:effectExtent l="0" t="0" r="0" b="0"/>
                  <wp:docPr id="15" name="Imagine 8" descr="O imagine care conține pește, Font, Aripioar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8" descr="O imagine care conține pește, Font, Aripioară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597535" cy="611505"/>
                  <wp:effectExtent l="0" t="0" r="0" b="0"/>
                  <wp:docPr id="16" name="Imagine 9" descr="O imagine care conține text, Grafică, Font, verd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9" descr="O imagine care conține text, Grafică, Font, verde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613410" cy="611505"/>
                  <wp:effectExtent l="0" t="0" r="0" b="0"/>
                  <wp:docPr id="17" name="Imagine 32" descr="O imagine care conține pasăre, tex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32" descr="O imagine care conține pasăre, text, proiectare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drawing>
                <wp:inline distT="0" distB="0" distL="0" distR="0">
                  <wp:extent cx="596900" cy="611505"/>
                  <wp:effectExtent l="0" t="0" r="0" b="0"/>
                  <wp:docPr id="18" name="Imagine 34" descr="O imagine care conține text, captură de ecran, siglă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34" descr="O imagine care conține text, captură de ecran, siglă, Font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eastAsia="ro-RO" w:bidi="ar-SA"/>
              </w:rPr>
              <w:t>Nu se aplică nici o etichetă</w:t>
            </w:r>
          </w:p>
        </w:tc>
      </w:tr>
      <w:tr>
        <w:trPr>
          <w:trHeight w:val="397" w:hRule="atLeast"/>
        </w:trPr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10" o:allowincell="t" style="width:12.85pt;height:18.1pt" type="#_x0000_t75"/>
                <w:control r:id="rId30" w:name="OptionButton19" w:shapeid="control_shape_10"/>
              </w:object>
            </w:r>
          </w:p>
        </w:tc>
        <w:tc>
          <w:tcPr>
            <w:tcW w:w="1166" w:type="dxa"/>
            <w:gridSpan w:val="2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11" o:allowincell="t" style="width:12.85pt;height:18.1pt" type="#_x0000_t75"/>
                <w:control r:id="rId31" w:name="OptionButton110" w:shapeid="control_shape_11"/>
              </w:object>
            </w:r>
          </w:p>
        </w:tc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12" o:allowincell="t" style="width:12.85pt;height:18.1pt" type="#_x0000_t75"/>
                <w:control r:id="rId32" w:name="OptionButton111" w:shapeid="control_shape_12"/>
              </w:object>
            </w:r>
          </w:p>
        </w:tc>
        <w:tc>
          <w:tcPr>
            <w:tcW w:w="116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13" o:allowincell="t" style="width:12.85pt;height:18.1pt" type="#_x0000_t75"/>
                <w:control r:id="rId33" w:name="OptionButton112" w:shapeid="control_shape_13"/>
              </w:object>
            </w:r>
          </w:p>
        </w:tc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14" o:allowincell="t" style="width:12.85pt;height:18.1pt" type="#_x0000_t75"/>
                <w:control r:id="rId34" w:name="OptionButton113" w:shapeid="control_shape_14"/>
              </w:object>
            </w:r>
          </w:p>
        </w:tc>
        <w:tc>
          <w:tcPr>
            <w:tcW w:w="116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15" o:allowincell="t" style="width:12.85pt;height:18.1pt" type="#_x0000_t75"/>
                <w:control r:id="rId35" w:name="OptionButton114" w:shapeid="control_shape_15"/>
              </w:object>
            </w:r>
          </w:p>
        </w:tc>
        <w:tc>
          <w:tcPr>
            <w:tcW w:w="116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16" o:allowincell="t" style="width:12.85pt;height:18.1pt" type="#_x0000_t75"/>
                <w:control r:id="rId36" w:name="OptionButton115" w:shapeid="control_shape_16"/>
              </w:object>
            </w:r>
          </w:p>
        </w:tc>
        <w:tc>
          <w:tcPr>
            <w:tcW w:w="116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17" o:allowincell="t" style="width:12.85pt;height:18.1pt" type="#_x0000_t75"/>
                <w:control r:id="rId37" w:name="OptionButton116" w:shapeid="control_shape_17"/>
              </w:object>
            </w:r>
          </w:p>
        </w:tc>
        <w:tc>
          <w:tcPr>
            <w:tcW w:w="116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</w:rPr>
            </w:pPr>
            <w:r>
              <w:rPr/>
              <w:object>
                <v:shape id="control_shape_18" o:allowincell="t" style="width:12.85pt;height:18.1pt" type="#_x0000_t75"/>
                <w:control r:id="rId38" w:name="OptionButton1161" w:shapeid="control_shape_18"/>
              </w:object>
            </w:r>
          </w:p>
        </w:tc>
      </w:tr>
    </w:tbl>
    <w:p>
      <w:pPr>
        <w:pStyle w:val="Normal"/>
        <w:spacing w:before="0" w:after="0"/>
        <w:rPr>
          <w:rFonts w:ascii="Cambria" w:hAnsi="Cambria"/>
          <w:sz w:val="20"/>
          <w:szCs w:val="20"/>
          <w:lang w:val="hu-HU"/>
        </w:rPr>
      </w:pPr>
      <w:r>
        <w:rPr>
          <w:rFonts w:ascii="Cambria" w:hAnsi="Cambria"/>
          <w:sz w:val="20"/>
          <w:szCs w:val="20"/>
          <w:lang w:val="hu-HU"/>
        </w:rPr>
      </w:r>
    </w:p>
    <w:p>
      <w:pPr>
        <w:pStyle w:val="Normal"/>
        <w:spacing w:before="0" w:after="0"/>
        <w:rPr>
          <w:rFonts w:ascii="Cambria" w:hAnsi="Cambria"/>
          <w:sz w:val="20"/>
          <w:szCs w:val="20"/>
          <w:lang w:val="hu-HU"/>
        </w:rPr>
      </w:pPr>
      <w:r>
        <w:rPr>
          <w:rFonts w:ascii="Cambria" w:hAnsi="Cambria"/>
          <w:sz w:val="20"/>
          <w:szCs w:val="20"/>
          <w:lang w:val="hu-HU"/>
        </w:rPr>
      </w:r>
    </w:p>
    <w:p>
      <w:pPr>
        <w:pStyle w:val="Normal"/>
        <w:spacing w:before="0" w:after="0"/>
        <w:rPr>
          <w:rFonts w:ascii="Cambria" w:hAnsi="Cambria"/>
          <w:sz w:val="20"/>
          <w:szCs w:val="20"/>
          <w:lang w:val="hu-HU"/>
        </w:rPr>
      </w:pPr>
      <w:r>
        <w:rPr>
          <w:rFonts w:ascii="Cambria" w:hAnsi="Cambria"/>
          <w:sz w:val="20"/>
          <w:szCs w:val="20"/>
          <w:lang w:val="hu-HU"/>
        </w:rPr>
      </w:r>
    </w:p>
    <w:tbl>
      <w:tblPr>
        <w:tblStyle w:val="Tabelgril"/>
        <w:tblW w:w="1049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53"/>
        <w:gridCol w:w="2970"/>
        <w:gridCol w:w="999"/>
        <w:gridCol w:w="3969"/>
      </w:tblGrid>
      <w:tr>
        <w:trPr>
          <w:trHeight w:val="504" w:hRule="atLeast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hu-HU" w:eastAsia="ro-RO" w:bidi="ar-SA"/>
              </w:rPr>
              <w:t>Kitöltés időpontja: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 w:eastAsia="Calibri" w:cs="Times New Roman"/>
                <w:kern w:val="0"/>
                <w:lang w:val="hu-HU" w:eastAsia="ro-RO" w:bidi="ar-SA"/>
              </w:rPr>
            </w:pPr>
            <w:r>
              <w:rPr>
                <w:rFonts w:eastAsia="Calibri" w:cs="Times New Roman" w:ascii="Cambria" w:hAnsi="Cambria"/>
                <w:kern w:val="0"/>
                <w:lang w:val="hu-HU" w:eastAsia="ro-RO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en-US" w:eastAsia="ro-RO" w:bidi="ar-SA"/>
              </w:rPr>
              <w:t xml:space="preserve">2026. </w:t>
            </w: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hu-HU" w:eastAsia="ro-RO" w:bidi="ar-SA"/>
              </w:rPr>
              <w:t>április 15.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hu-HU" w:eastAsia="ro-RO" w:bidi="ar-SA"/>
              </w:rPr>
              <w:t>Előadás felelőse: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hu-HU" w:eastAsia="ro-RO" w:bidi="ar-SA"/>
              </w:rPr>
              <w:t>Dr. Finta Zoltán egyet. docens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hu-HU" w:eastAsia="ro-RO" w:bidi="ar-SA"/>
              </w:rPr>
              <w:t>Szeminárium felelőse: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hu-HU" w:eastAsia="ro-RO" w:bidi="ar-SA"/>
              </w:rPr>
              <w:t>Dr. Finta Zoltán egyet. docens</w:t>
            </w:r>
          </w:p>
        </w:tc>
      </w:tr>
      <w:tr>
        <w:trPr>
          <w:trHeight w:val="900" w:hRule="atLeast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  <w:sz w:val="22"/>
                <w:szCs w:val="22"/>
                <w:lang w:val="en-US"/>
              </w:rPr>
            </w:pPr>
            <w:r>
              <w:rPr>
                <w:rFonts w:ascii="Cambria" w:hAnsi="Cambria"/>
                <w:sz w:val="22"/>
                <w:szCs w:val="22"/>
                <w:lang w:val="en-US"/>
              </w:rPr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posOffset>677545</wp:posOffset>
                  </wp:positionH>
                  <wp:positionV relativeFrom="paragraph">
                    <wp:posOffset>68580</wp:posOffset>
                  </wp:positionV>
                  <wp:extent cx="913765" cy="389255"/>
                  <wp:effectExtent l="0" t="0" r="0" b="0"/>
                  <wp:wrapSquare wrapText="largest"/>
                  <wp:docPr id="19" name="Image1 Copy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 Copy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765" cy="389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posOffset>677545</wp:posOffset>
                  </wp:positionH>
                  <wp:positionV relativeFrom="paragraph">
                    <wp:posOffset>68580</wp:posOffset>
                  </wp:positionV>
                  <wp:extent cx="913765" cy="389255"/>
                  <wp:effectExtent l="0" t="0" r="0" b="0"/>
                  <wp:wrapSquare wrapText="largest"/>
                  <wp:docPr id="20" name="Image1 Copy 1 Copy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 Copy 1 Copy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765" cy="389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</w:r>
          </w:p>
        </w:tc>
      </w:tr>
      <w:tr>
        <w:trPr>
          <w:trHeight w:val="1692" w:hRule="atLeast"/>
        </w:trPr>
        <w:tc>
          <w:tcPr>
            <w:tcW w:w="55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hu-HU" w:eastAsia="ro-RO" w:bidi="ar-SA"/>
              </w:rPr>
              <w:t>Az intézeti jóváhagyás dátuma: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hu-HU" w:eastAsia="ro-RO" w:bidi="ar-SA"/>
              </w:rPr>
              <w:t>2</w:t>
            </w: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en-US" w:eastAsia="ro-RO" w:bidi="ar-SA"/>
              </w:rPr>
              <w:t xml:space="preserve">026. </w:t>
            </w: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hu-HU" w:eastAsia="ro-RO" w:bidi="ar-SA"/>
              </w:rPr>
              <w:t>április 23.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</w:r>
          </w:p>
        </w:tc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hu-HU" w:eastAsia="ro-RO" w:bidi="ar-SA"/>
              </w:rPr>
              <w:t>Intézetigazgató: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</w:r>
          </w:p>
          <w:p>
            <w:pPr>
              <w:pStyle w:val="Normal"/>
              <w:ind w:firstLine="708" w:right="0"/>
              <w:rPr>
                <w:sz w:val="20"/>
                <w:szCs w:val="20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hu-HU" w:eastAsia="ro-RO" w:bidi="ar-SA"/>
              </w:rPr>
              <w:t>Dr. András Szilárd-Károly egyet. docens</w:t>
            </w:r>
          </w:p>
          <w:p>
            <w:pPr>
              <w:pStyle w:val="Normal"/>
              <w:spacing w:before="0" w:after="160"/>
              <w:ind w:firstLine="708" w:right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48665" cy="460375"/>
                  <wp:effectExtent l="0" t="0" r="0" b="0"/>
                  <wp:wrapSquare wrapText="largest"/>
                  <wp:docPr id="21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460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spacing w:before="0" w:after="0"/>
        <w:rPr>
          <w:rFonts w:ascii="Cambria" w:hAnsi="Cambria"/>
          <w:sz w:val="20"/>
          <w:szCs w:val="20"/>
          <w:lang w:val="hu-HU"/>
        </w:rPr>
      </w:pPr>
      <w:r>
        <w:rPr>
          <w:rFonts w:ascii="Cambria" w:hAnsi="Cambria"/>
          <w:sz w:val="20"/>
          <w:szCs w:val="20"/>
          <w:lang w:val="hu-HU"/>
        </w:rPr>
      </w:r>
    </w:p>
    <w:sectPr>
      <w:footnotePr>
        <w:numFmt w:val="decimal"/>
      </w:foot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Mono">
    <w:altName w:val="Courier New"/>
    <w:charset w:val="00"/>
    <w:family w:val="roman"/>
    <w:pitch w:val="variable"/>
  </w:font>
  <w:font w:name="Cambria">
    <w:charset w:val="00"/>
    <w:family w:val="roman"/>
    <w:pitch w:val="variable"/>
  </w:font>
  <w:font w:name="inherit">
    <w:charset w:val="00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spacing w:lineRule="auto" w:line="240" w:before="0" w:after="120"/>
        <w:jc w:val="both"/>
        <w:rPr>
          <w:rFonts w:ascii="Cambria" w:hAnsi="Cambria"/>
          <w:lang w:val="hu-HU"/>
        </w:rPr>
      </w:pPr>
      <w:r>
        <w:rPr>
          <w:rStyle w:val="FootnoteCharacters"/>
        </w:rPr>
        <w:footnoteRef/>
      </w:r>
      <w:r>
        <w:rPr>
          <w:rFonts w:ascii="Cambria" w:hAnsi="Cambria"/>
          <w:lang w:val="hu-HU"/>
        </w:rPr>
        <w:t xml:space="preserve"> </w:t>
      </w:r>
      <w:r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3">
    <w:p>
      <w:pPr>
        <w:pStyle w:val="FootnoteText"/>
        <w:spacing w:lineRule="auto" w:line="240" w:before="0" w:after="120"/>
        <w:jc w:val="both"/>
        <w:rPr>
          <w:rFonts w:ascii="Cambria" w:hAnsi="Cambria"/>
          <w:lang w:val="hu-HU"/>
        </w:rPr>
      </w:pPr>
      <w:r>
        <w:rPr>
          <w:rStyle w:val="FootnoteCharacters"/>
        </w:rPr>
        <w:footnoteRef/>
      </w:r>
      <w:r>
        <w:rPr>
          <w:rFonts w:ascii="Cambria" w:hAnsi="Cambria"/>
          <w:lang w:val="hu-HU"/>
        </w:rPr>
        <w:t xml:space="preserve"> </w:t>
      </w:r>
      <w:r>
        <w:rPr>
          <w:rFonts w:ascii="Cambria" w:hAnsi="Cambria"/>
          <w:lang w:val="hu-HU"/>
        </w:rPr>
        <w:t>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4">
    <w:p>
      <w:pPr>
        <w:pStyle w:val="FootnoteText"/>
        <w:spacing w:lineRule="auto" w:line="240" w:before="0" w:after="120"/>
        <w:jc w:val="both"/>
        <w:rPr>
          <w:rFonts w:ascii="Cambria" w:hAnsi="Cambria"/>
          <w:lang w:val="hu-HU"/>
        </w:rPr>
      </w:pPr>
      <w:r>
        <w:rPr>
          <w:rStyle w:val="FootnoteCharacters"/>
        </w:rPr>
        <w:footnoteRef/>
      </w:r>
      <w:r>
        <w:rPr>
          <w:rFonts w:ascii="Cambria" w:hAnsi="Cambria"/>
          <w:lang w:val="hu-HU"/>
        </w:rPr>
        <w:t xml:space="preserve"> </w:t>
      </w:r>
      <w:r>
        <w:rPr>
          <w:rFonts w:ascii="Cambria" w:hAnsi="Cambria"/>
          <w:lang w:val="hu-HU"/>
        </w:rPr>
        <w:t>Például szervezési szempontok, ajánlások a hallgatók számára, a kurzushoz/szemináriumhoz kapcsolódó konkrét szempontok, mint például a területen dolgozó szakemberek meghívása stb.</w:t>
      </w:r>
    </w:p>
  </w:footnote>
  <w:footnote w:id="5">
    <w:p>
      <w:pPr>
        <w:pStyle w:val="FootnoteText"/>
        <w:spacing w:lineRule="auto" w:line="240" w:before="0" w:after="120"/>
        <w:jc w:val="both"/>
        <w:rPr>
          <w:rFonts w:ascii="Cambria" w:hAnsi="Cambria"/>
          <w:lang w:val="hu-HU"/>
        </w:rPr>
      </w:pPr>
      <w:r>
        <w:rPr>
          <w:rStyle w:val="FootnoteCharacters"/>
        </w:rPr>
        <w:footnoteRef/>
      </w:r>
      <w:r>
        <w:rPr>
          <w:rFonts w:ascii="Cambria" w:hAnsi="Cambria"/>
          <w:lang w:val="hu-HU"/>
        </w:rPr>
        <w:t xml:space="preserve"> </w:t>
      </w:r>
      <w:r>
        <w:rPr>
          <w:rFonts w:ascii="Cambria" w:hAnsi="Cambria"/>
          <w:lang w:val="hu-HU"/>
        </w:rPr>
        <w:t>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6">
    <w:p>
      <w:pPr>
        <w:pStyle w:val="FootnoteText"/>
        <w:spacing w:lineRule="auto" w:line="240" w:before="0" w:after="120"/>
        <w:jc w:val="both"/>
        <w:rPr>
          <w:rFonts w:ascii="Cambria" w:hAnsi="Cambria"/>
          <w:lang w:val="hu-HU"/>
        </w:rPr>
      </w:pPr>
      <w:r>
        <w:rPr>
          <w:rStyle w:val="FootnoteCharacters"/>
        </w:rPr>
        <w:footnoteRef/>
      </w:r>
      <w:r>
        <w:rPr>
          <w:rFonts w:ascii="Cambria" w:hAnsi="Cambria"/>
          <w:lang w:val="hu-HU"/>
        </w:rPr>
        <w:t xml:space="preserve"> </w:t>
      </w:r>
      <w:r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7">
    <w:p>
      <w:pPr>
        <w:pStyle w:val="FootnoteText"/>
        <w:spacing w:lineRule="auto" w:line="240" w:before="0" w:after="120"/>
        <w:jc w:val="both"/>
        <w:rPr>
          <w:rFonts w:ascii="Cambria" w:hAnsi="Cambria"/>
          <w:lang w:val="hu-HU"/>
        </w:rPr>
      </w:pPr>
      <w:r>
        <w:rPr>
          <w:rStyle w:val="FootnoteCharacters"/>
        </w:rPr>
        <w:footnoteRef/>
      </w:r>
      <w:r>
        <w:rPr>
          <w:rFonts w:ascii="Cambria" w:hAnsi="Cambria"/>
          <w:lang w:val="hu-HU"/>
        </w:rPr>
        <w:t xml:space="preserve"> </w:t>
      </w:r>
      <w:r>
        <w:rPr>
          <w:rFonts w:ascii="Cambria" w:hAnsi="Cambria"/>
          <w:lang w:val="hu-HU"/>
        </w:rPr>
        <w:t xml:space="preserve">Válasszon ki egyetlen olyan ikont, amely az </w:t>
      </w:r>
      <w:hyperlink r:id="rId1">
        <w:r>
          <w:rPr>
            <w:rStyle w:val="Hyperlink"/>
            <w:rFonts w:ascii="Cambria" w:hAnsi="Cambria"/>
            <w:i/>
            <w:iCs/>
            <w:lang w:val="hu-HU"/>
          </w:rPr>
          <w:t>Egyetemi folyamatban történő alkalmazására vonatkozó eljárás</w:t>
        </w:r>
      </w:hyperlink>
      <w:r>
        <w:rPr>
          <w:rFonts w:ascii="Cambria" w:hAnsi="Cambria"/>
          <w:lang w:val="hu-HU"/>
        </w:rPr>
        <w:t xml:space="preserve"> szerint legjobban illeszkedik az adott tantárgyhoz. Ha a tantárgy általánosságban foglalkozik a fenntartható fejlődéssel (pl. bemutatja/bevezeti a fenntartható fejlődés általános kereteit stb.), akkor a Fenntartható Fejlődés általános ikonja rendelhető hozzá. Ha egyetlen ikon sem vonatkozik a tantárgyra, válassza az utolsó opciót: </w:t>
      </w:r>
      <w:r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rFonts w:ascii="Cambria" w:hAnsi="Cambri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rFonts w:ascii="Cambria" w:hAnsi="Cambri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a3dd3"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ro-RO" w:eastAsia="en-US" w:bidi="ar-SA"/>
    </w:rPr>
  </w:style>
  <w:style w:type="paragraph" w:styleId="Heading1">
    <w:name w:val="Heading 1"/>
    <w:basedOn w:val="Normal"/>
    <w:next w:val="Normal"/>
    <w:link w:val="Titlu1Caracter"/>
    <w:uiPriority w:val="9"/>
    <w:qFormat/>
    <w:rsid w:val="00cc781a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Titlu2Caracter"/>
    <w:uiPriority w:val="9"/>
    <w:semiHidden/>
    <w:unhideWhenUsed/>
    <w:qFormat/>
    <w:rsid w:val="00cc781a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Titlu3Caracter"/>
    <w:uiPriority w:val="9"/>
    <w:semiHidden/>
    <w:unhideWhenUsed/>
    <w:qFormat/>
    <w:rsid w:val="00cc781a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Titlu4Caracter"/>
    <w:uiPriority w:val="9"/>
    <w:semiHidden/>
    <w:unhideWhenUsed/>
    <w:qFormat/>
    <w:rsid w:val="00cc781a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Titlu5Caracter"/>
    <w:uiPriority w:val="9"/>
    <w:semiHidden/>
    <w:unhideWhenUsed/>
    <w:qFormat/>
    <w:rsid w:val="00cc781a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Titlu6Caracter"/>
    <w:uiPriority w:val="9"/>
    <w:semiHidden/>
    <w:unhideWhenUsed/>
    <w:qFormat/>
    <w:rsid w:val="00cc781a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itlu7Caracter"/>
    <w:uiPriority w:val="9"/>
    <w:semiHidden/>
    <w:unhideWhenUsed/>
    <w:qFormat/>
    <w:rsid w:val="00cc781a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itlu8Caracter"/>
    <w:uiPriority w:val="9"/>
    <w:semiHidden/>
    <w:unhideWhenUsed/>
    <w:qFormat/>
    <w:rsid w:val="00cc781a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itlu9Caracter"/>
    <w:uiPriority w:val="9"/>
    <w:semiHidden/>
    <w:unhideWhenUsed/>
    <w:qFormat/>
    <w:rsid w:val="00cc781a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u1Caracter" w:customStyle="1">
    <w:name w:val="Titlu 1 Caracter"/>
    <w:basedOn w:val="DefaultParagraphFont"/>
    <w:link w:val="Heading1"/>
    <w:uiPriority w:val="9"/>
    <w:qFormat/>
    <w:rsid w:val="00cc781a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Titlu2Caracter" w:customStyle="1">
    <w:name w:val="Titlu 2 Caracter"/>
    <w:basedOn w:val="DefaultParagraphFont"/>
    <w:link w:val="Heading2"/>
    <w:uiPriority w:val="9"/>
    <w:semiHidden/>
    <w:qFormat/>
    <w:rsid w:val="00cc781a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Titlu3Caracter" w:customStyle="1">
    <w:name w:val="Titlu 3 Caracter"/>
    <w:basedOn w:val="DefaultParagraphFont"/>
    <w:link w:val="Heading3"/>
    <w:uiPriority w:val="9"/>
    <w:semiHidden/>
    <w:qFormat/>
    <w:rsid w:val="00cc781a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Titlu4Caracter" w:customStyle="1">
    <w:name w:val="Titlu 4 Caracter"/>
    <w:basedOn w:val="DefaultParagraphFont"/>
    <w:link w:val="Heading4"/>
    <w:uiPriority w:val="9"/>
    <w:semiHidden/>
    <w:qFormat/>
    <w:rsid w:val="00cc781a"/>
    <w:rPr>
      <w:rFonts w:eastAsia="" w:cs="" w:cstheme="majorBidi" w:eastAsiaTheme="majorEastAsia"/>
      <w:i/>
      <w:iCs/>
      <w:color w:themeColor="accent1" w:themeShade="bf" w:val="0F4761"/>
    </w:rPr>
  </w:style>
  <w:style w:type="character" w:styleId="Titlu5Caracter" w:customStyle="1">
    <w:name w:val="Titlu 5 Caracter"/>
    <w:basedOn w:val="DefaultParagraphFont"/>
    <w:link w:val="Heading5"/>
    <w:uiPriority w:val="9"/>
    <w:semiHidden/>
    <w:qFormat/>
    <w:rsid w:val="00cc781a"/>
    <w:rPr>
      <w:rFonts w:eastAsia="" w:cs="" w:cstheme="majorBidi" w:eastAsiaTheme="majorEastAsia"/>
      <w:color w:themeColor="accent1" w:themeShade="bf" w:val="0F4761"/>
    </w:rPr>
  </w:style>
  <w:style w:type="character" w:styleId="Titlu6Caracter" w:customStyle="1">
    <w:name w:val="Titlu 6 Caracter"/>
    <w:basedOn w:val="DefaultParagraphFont"/>
    <w:link w:val="Heading6"/>
    <w:uiPriority w:val="9"/>
    <w:semiHidden/>
    <w:qFormat/>
    <w:rsid w:val="00cc781a"/>
    <w:rPr>
      <w:rFonts w:eastAsia="" w:cs="" w:cstheme="majorBidi" w:eastAsiaTheme="majorEastAsia"/>
      <w:i/>
      <w:iCs/>
      <w:color w:themeColor="text1" w:themeTint="a6" w:val="595959"/>
    </w:rPr>
  </w:style>
  <w:style w:type="character" w:styleId="Titlu7Caracter" w:customStyle="1">
    <w:name w:val="Titlu 7 Caracter"/>
    <w:basedOn w:val="DefaultParagraphFont"/>
    <w:link w:val="Heading7"/>
    <w:uiPriority w:val="9"/>
    <w:semiHidden/>
    <w:qFormat/>
    <w:rsid w:val="00cc781a"/>
    <w:rPr>
      <w:rFonts w:eastAsia="" w:cs="" w:cstheme="majorBidi" w:eastAsiaTheme="majorEastAsia"/>
      <w:color w:themeColor="text1" w:themeTint="a6" w:val="595959"/>
    </w:rPr>
  </w:style>
  <w:style w:type="character" w:styleId="Titlu8Caracter" w:customStyle="1">
    <w:name w:val="Titlu 8 Caracter"/>
    <w:basedOn w:val="DefaultParagraphFont"/>
    <w:link w:val="Heading8"/>
    <w:uiPriority w:val="9"/>
    <w:semiHidden/>
    <w:qFormat/>
    <w:rsid w:val="00cc781a"/>
    <w:rPr>
      <w:rFonts w:eastAsia="" w:cs="" w:cstheme="majorBidi" w:eastAsiaTheme="majorEastAsia"/>
      <w:i/>
      <w:iCs/>
      <w:color w:themeColor="text1" w:themeTint="d8" w:val="272727"/>
    </w:rPr>
  </w:style>
  <w:style w:type="character" w:styleId="Titlu9Caracter" w:customStyle="1">
    <w:name w:val="Titlu 9 Caracter"/>
    <w:basedOn w:val="DefaultParagraphFont"/>
    <w:link w:val="Heading9"/>
    <w:uiPriority w:val="9"/>
    <w:semiHidden/>
    <w:qFormat/>
    <w:rsid w:val="00cc781a"/>
    <w:rPr>
      <w:rFonts w:eastAsia="" w:cs="" w:cstheme="majorBidi" w:eastAsiaTheme="majorEastAsia"/>
      <w:color w:themeColor="text1" w:themeTint="d8" w:val="272727"/>
    </w:rPr>
  </w:style>
  <w:style w:type="character" w:styleId="TitluCaracter" w:customStyle="1">
    <w:name w:val="Titlu Caracter"/>
    <w:basedOn w:val="DefaultParagraphFont"/>
    <w:link w:val="Title"/>
    <w:uiPriority w:val="10"/>
    <w:qFormat/>
    <w:rsid w:val="00cc781a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itluCaracter" w:customStyle="1">
    <w:name w:val="Subtitlu Caracter"/>
    <w:basedOn w:val="DefaultParagraphFont"/>
    <w:link w:val="Subtitle"/>
    <w:uiPriority w:val="11"/>
    <w:qFormat/>
    <w:rsid w:val="00cc781a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tCaracter" w:customStyle="1">
    <w:name w:val="Citat Caracter"/>
    <w:basedOn w:val="DefaultParagraphFont"/>
    <w:link w:val="Quote"/>
    <w:uiPriority w:val="29"/>
    <w:qFormat/>
    <w:rsid w:val="00cc781a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themeColor="accent1" w:themeShade="bf" w:val="0F4761"/>
    </w:rPr>
  </w:style>
  <w:style w:type="character" w:styleId="CitatintensCaracter" w:customStyle="1">
    <w:name w:val="Citat intens Caracter"/>
    <w:basedOn w:val="DefaultParagraphFont"/>
    <w:link w:val="IntenseQuote"/>
    <w:uiPriority w:val="30"/>
    <w:qFormat/>
    <w:rsid w:val="00cc781a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themeColor="accent1" w:themeShade="bf" w:val="0F4761"/>
      <w:spacing w:val="5"/>
    </w:rPr>
  </w:style>
  <w:style w:type="character" w:styleId="TextnotdesubsolCaracter" w:customStyle="1">
    <w:name w:val="Text notă de subsol Caracter"/>
    <w:basedOn w:val="DefaultParagraphFont"/>
    <w:link w:val="FootnoteText"/>
    <w:uiPriority w:val="99"/>
    <w:semiHidden/>
    <w:qFormat/>
    <w:rsid w:val="00d12bc3"/>
    <w:rPr>
      <w:rFonts w:ascii="Calibri" w:hAnsi="Calibri" w:eastAsia="Calibri" w:cs="Times New Roman"/>
      <w:kern w:val="0"/>
      <w:sz w:val="20"/>
      <w:szCs w:val="20"/>
      <w:lang w:val="ro-RO"/>
    </w:rPr>
  </w:style>
  <w:style w:type="character" w:styleId="FootnoteCharacters">
    <w:name w:val="Footnote Characters"/>
    <w:uiPriority w:val="99"/>
    <w:semiHidden/>
    <w:unhideWhenUsed/>
    <w:qFormat/>
    <w:rsid w:val="00d12bc3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96ba6"/>
    <w:rPr>
      <w:color w:themeColor="hyperlink" w:val="467886"/>
      <w:u w:val="single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qFormat/>
    <w:rsid w:val="00996ba6"/>
    <w:rPr>
      <w:color w:val="605E5C"/>
      <w:shd w:fill="E1DFDD" w:val="clear"/>
    </w:rPr>
  </w:style>
  <w:style w:type="character" w:styleId="TextnBalonCaracter" w:customStyle="1">
    <w:name w:val="Text în Balon Caracter"/>
    <w:basedOn w:val="DefaultParagraphFont"/>
    <w:link w:val="BalloonText"/>
    <w:uiPriority w:val="99"/>
    <w:semiHidden/>
    <w:qFormat/>
    <w:rsid w:val="002c22aa"/>
    <w:rPr>
      <w:rFonts w:ascii="Tahoma" w:hAnsi="Tahoma" w:cs="Tahoma"/>
      <w:sz w:val="16"/>
      <w:szCs w:val="16"/>
      <w:lang w:val="ro-RO"/>
    </w:rPr>
  </w:style>
  <w:style w:type="character" w:styleId="TextcomentariuCaracter" w:customStyle="1">
    <w:name w:val="Text comentariu Caracter"/>
    <w:basedOn w:val="DefaultParagraphFont"/>
    <w:link w:val="AnnotationText"/>
    <w:uiPriority w:val="99"/>
    <w:qFormat/>
    <w:rsid w:val="0086570a"/>
    <w:rPr>
      <w:sz w:val="20"/>
      <w:szCs w:val="20"/>
      <w:lang w:val="ro-RO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themeColor="followedHyperlink" w:val="96607D"/>
      <w:u w:val="single"/>
    </w:rPr>
  </w:style>
  <w:style w:type="character" w:styleId="PlaceholderText">
    <w:name w:val="Placeholder Text"/>
    <w:basedOn w:val="DefaultParagraphFont"/>
    <w:uiPriority w:val="99"/>
    <w:semiHidden/>
    <w:qFormat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8769c5"/>
    <w:rPr>
      <w:color w:val="605E5C"/>
      <w:shd w:fill="E1DFDD" w:val="clear"/>
    </w:rPr>
  </w:style>
  <w:style w:type="character" w:styleId="EndnoteCharacters">
    <w:name w:val="Endnote Characters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ps">
    <w:name w:val="hps"/>
    <w:basedOn w:val="DefaultParagraphFont"/>
    <w:qFormat/>
    <w:rPr/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uCaracter"/>
    <w:uiPriority w:val="10"/>
    <w:qFormat/>
    <w:rsid w:val="00cc781a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itluCaracter"/>
    <w:uiPriority w:val="11"/>
    <w:qFormat/>
    <w:rsid w:val="00cc781a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tCaracter"/>
    <w:uiPriority w:val="29"/>
    <w:qFormat/>
    <w:rsid w:val="00cc781a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cc781a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tintensCaracte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xtnotdesubsolCaracter"/>
    <w:uiPriority w:val="99"/>
    <w:semiHidden/>
    <w:unhideWhenUsed/>
    <w:rsid w:val="00d12bc3"/>
    <w:pPr>
      <w:spacing w:lineRule="auto" w:line="276" w:before="0" w:after="200"/>
    </w:pPr>
    <w:rPr>
      <w:rFonts w:ascii="Calibri" w:hAnsi="Calibri" w:eastAsia="Calibri" w:cs="Times New Roman"/>
      <w:kern w:val="0"/>
      <w:sz w:val="20"/>
      <w:szCs w:val="20"/>
    </w:rPr>
  </w:style>
  <w:style w:type="paragraph" w:styleId="BalloonText">
    <w:name w:val="Balloon Text"/>
    <w:basedOn w:val="Normal"/>
    <w:link w:val="TextnBalonCaracter"/>
    <w:uiPriority w:val="99"/>
    <w:semiHidden/>
    <w:unhideWhenUsed/>
    <w:qFormat/>
    <w:rsid w:val="002c22a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xtcomentariuCaracter"/>
    <w:uiPriority w:val="99"/>
    <w:unhideWhenUsed/>
    <w:rsid w:val="0086570a"/>
    <w:pPr>
      <w:spacing w:lineRule="auto" w:line="240"/>
    </w:pPr>
    <w:rPr>
      <w:sz w:val="20"/>
      <w:szCs w:val="20"/>
    </w:rPr>
  </w:style>
  <w:style w:type="paragraph" w:styleId="FrameContents">
    <w:name w:val="Frame Contents"/>
    <w:basedOn w:val="Normal"/>
    <w:qFormat/>
    <w:pPr/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gril">
    <w:name w:val="Table Grid"/>
    <w:basedOn w:val="TabelNormal"/>
    <w:uiPriority w:val="99"/>
    <w:rsid w:val="001253aa"/>
    <w:pPr>
      <w:spacing w:after="0" w:line="240" w:lineRule="auto"/>
    </w:pPr>
    <w:rPr>
      <w:lang w:val="ro-RO" w:eastAsia="ro-RO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control" Target="activeX/activeX1.xml"/><Relationship Id="rId4" Type="http://schemas.openxmlformats.org/officeDocument/2006/relationships/image" Target="media/image2.png"/><Relationship Id="rId5" Type="http://schemas.openxmlformats.org/officeDocument/2006/relationships/image" Target="media/image3.png"/><Relationship Id="rId6" Type="http://schemas.openxmlformats.org/officeDocument/2006/relationships/image" Target="media/image4.png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png"/><Relationship Id="rId10" Type="http://schemas.openxmlformats.org/officeDocument/2006/relationships/image" Target="media/image8.png"/><Relationship Id="rId11" Type="http://schemas.openxmlformats.org/officeDocument/2006/relationships/image" Target="media/image9.png"/><Relationship Id="rId12" Type="http://schemas.openxmlformats.org/officeDocument/2006/relationships/image" Target="media/image10.png"/><Relationship Id="rId13" Type="http://schemas.openxmlformats.org/officeDocument/2006/relationships/control" Target="activeX/activeX2.xml"/><Relationship Id="rId14" Type="http://schemas.openxmlformats.org/officeDocument/2006/relationships/control" Target="activeX/activeX3.xml"/><Relationship Id="rId15" Type="http://schemas.openxmlformats.org/officeDocument/2006/relationships/control" Target="activeX/activeX4.xml"/><Relationship Id="rId16" Type="http://schemas.openxmlformats.org/officeDocument/2006/relationships/control" Target="activeX/activeX5.xml"/><Relationship Id="rId17" Type="http://schemas.openxmlformats.org/officeDocument/2006/relationships/control" Target="activeX/activeX6.xml"/><Relationship Id="rId18" Type="http://schemas.openxmlformats.org/officeDocument/2006/relationships/control" Target="activeX/activeX7.xml"/><Relationship Id="rId19" Type="http://schemas.openxmlformats.org/officeDocument/2006/relationships/control" Target="activeX/activeX8.xml"/><Relationship Id="rId20" Type="http://schemas.openxmlformats.org/officeDocument/2006/relationships/control" Target="activeX/activeX9.xml"/><Relationship Id="rId21" Type="http://schemas.openxmlformats.org/officeDocument/2006/relationships/control" Target="activeX/activeX10.xml"/><Relationship Id="rId22" Type="http://schemas.openxmlformats.org/officeDocument/2006/relationships/image" Target="media/image11.png"/><Relationship Id="rId23" Type="http://schemas.openxmlformats.org/officeDocument/2006/relationships/image" Target="media/image12.png"/><Relationship Id="rId24" Type="http://schemas.openxmlformats.org/officeDocument/2006/relationships/image" Target="media/image13.png"/><Relationship Id="rId25" Type="http://schemas.openxmlformats.org/officeDocument/2006/relationships/image" Target="media/image14.png"/><Relationship Id="rId26" Type="http://schemas.openxmlformats.org/officeDocument/2006/relationships/image" Target="media/image15.png"/><Relationship Id="rId27" Type="http://schemas.openxmlformats.org/officeDocument/2006/relationships/image" Target="media/image16.png"/><Relationship Id="rId28" Type="http://schemas.openxmlformats.org/officeDocument/2006/relationships/image" Target="media/image17.png"/><Relationship Id="rId29" Type="http://schemas.openxmlformats.org/officeDocument/2006/relationships/image" Target="media/image18.png"/><Relationship Id="rId30" Type="http://schemas.openxmlformats.org/officeDocument/2006/relationships/control" Target="activeX/activeX11.xml"/><Relationship Id="rId31" Type="http://schemas.openxmlformats.org/officeDocument/2006/relationships/control" Target="activeX/activeX12.xml"/><Relationship Id="rId32" Type="http://schemas.openxmlformats.org/officeDocument/2006/relationships/control" Target="activeX/activeX13.xml"/><Relationship Id="rId33" Type="http://schemas.openxmlformats.org/officeDocument/2006/relationships/control" Target="activeX/activeX14.xml"/><Relationship Id="rId34" Type="http://schemas.openxmlformats.org/officeDocument/2006/relationships/control" Target="activeX/activeX15.xml"/><Relationship Id="rId35" Type="http://schemas.openxmlformats.org/officeDocument/2006/relationships/control" Target="activeX/activeX16.xml"/><Relationship Id="rId36" Type="http://schemas.openxmlformats.org/officeDocument/2006/relationships/control" Target="activeX/activeX17.xml"/><Relationship Id="rId37" Type="http://schemas.openxmlformats.org/officeDocument/2006/relationships/control" Target="activeX/activeX18.xml"/><Relationship Id="rId38" Type="http://schemas.openxmlformats.org/officeDocument/2006/relationships/control" Target="activeX/activeX19.xml"/><Relationship Id="rId39" Type="http://schemas.openxmlformats.org/officeDocument/2006/relationships/image" Target="media/image19.png"/><Relationship Id="rId40" Type="http://schemas.openxmlformats.org/officeDocument/2006/relationships/image" Target="media/image19.png"/><Relationship Id="rId41" Type="http://schemas.openxmlformats.org/officeDocument/2006/relationships/image" Target="media/image20.png"/><Relationship Id="rId42" Type="http://schemas.openxmlformats.org/officeDocument/2006/relationships/footnotes" Target="footnotes.xml"/><Relationship Id="rId43" Type="http://schemas.openxmlformats.org/officeDocument/2006/relationships/numbering" Target="numbering.xml"/><Relationship Id="rId44" Type="http://schemas.openxmlformats.org/officeDocument/2006/relationships/fontTable" Target="fontTable.xml"/><Relationship Id="rId45" Type="http://schemas.openxmlformats.org/officeDocument/2006/relationships/settings" Target="settings.xml"/><Relationship Id="rId46" Type="http://schemas.openxmlformats.org/officeDocument/2006/relationships/theme" Target="theme/theme1.xml"/><Relationship Id="rId47" Type="http://schemas.openxmlformats.org/officeDocument/2006/relationships/glossaryDocument" Target="glossary/document.xml"/><Relationship Id="rId48" Type="http://schemas.openxmlformats.org/officeDocument/2006/relationships/customXml" Target="../customXml/item1.xml"/><Relationship Id="rId49" Type="http://schemas.openxmlformats.org/officeDocument/2006/relationships/customXml" Target="../customXml/item2.xml"/><Relationship Id="rId50" Type="http://schemas.openxmlformats.org/officeDocument/2006/relationships/customXml" Target="../customXml/item3.xml"/><Relationship Id="rId51" Type="http://schemas.openxmlformats.org/officeDocument/2006/relationships/customXml" Target="../customXml/item4.xml"/>
</Relationships>
</file>

<file path=word/_rels/footnotes.xml.rels><?xml version="1.0" encoding="UTF-8"?>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
</Relationships>
</file>

<file path=word/activeX/_rels/activeX1.xml.rels><?xml version="1.0" encoding="UTF-8"?>
<Relationships xmlns="http://schemas.openxmlformats.org/package/2006/relationships"><Relationship Id="rId1" Type="http://schemas.microsoft.com/office/2006/relationships/activeXControlBinary" Target="activeX1.bin"/>
</Relationships>
</file>

<file path=word/activeX/_rels/activeX10.xml.rels><?xml version="1.0" encoding="UTF-8"?>
<Relationships xmlns="http://schemas.openxmlformats.org/package/2006/relationships"><Relationship Id="rId1" Type="http://schemas.microsoft.com/office/2006/relationships/activeXControlBinary" Target="activeX10.bin"/>
</Relationships>
</file>

<file path=word/activeX/_rels/activeX11.xml.rels><?xml version="1.0" encoding="UTF-8"?>
<Relationships xmlns="http://schemas.openxmlformats.org/package/2006/relationships"><Relationship Id="rId1" Type="http://schemas.microsoft.com/office/2006/relationships/activeXControlBinary" Target="activeX11.bin"/>
</Relationships>
</file>

<file path=word/activeX/_rels/activeX12.xml.rels><?xml version="1.0" encoding="UTF-8"?>
<Relationships xmlns="http://schemas.openxmlformats.org/package/2006/relationships"><Relationship Id="rId1" Type="http://schemas.microsoft.com/office/2006/relationships/activeXControlBinary" Target="activeX12.bin"/>
</Relationships>
</file>

<file path=word/activeX/_rels/activeX13.xml.rels><?xml version="1.0" encoding="UTF-8"?>
<Relationships xmlns="http://schemas.openxmlformats.org/package/2006/relationships"><Relationship Id="rId1" Type="http://schemas.microsoft.com/office/2006/relationships/activeXControlBinary" Target="activeX13.bin"/>
</Relationships>
</file>

<file path=word/activeX/_rels/activeX14.xml.rels><?xml version="1.0" encoding="UTF-8"?>
<Relationships xmlns="http://schemas.openxmlformats.org/package/2006/relationships"><Relationship Id="rId1" Type="http://schemas.microsoft.com/office/2006/relationships/activeXControlBinary" Target="activeX14.bin"/>
</Relationships>
</file>

<file path=word/activeX/_rels/activeX15.xml.rels><?xml version="1.0" encoding="UTF-8"?>
<Relationships xmlns="http://schemas.openxmlformats.org/package/2006/relationships"><Relationship Id="rId1" Type="http://schemas.microsoft.com/office/2006/relationships/activeXControlBinary" Target="activeX15.bin"/>
</Relationships>
</file>

<file path=word/activeX/_rels/activeX16.xml.rels><?xml version="1.0" encoding="UTF-8"?>
<Relationships xmlns="http://schemas.openxmlformats.org/package/2006/relationships"><Relationship Id="rId1" Type="http://schemas.microsoft.com/office/2006/relationships/activeXControlBinary" Target="activeX16.bin"/>
</Relationships>
</file>

<file path=word/activeX/_rels/activeX17.xml.rels><?xml version="1.0" encoding="UTF-8"?>
<Relationships xmlns="http://schemas.openxmlformats.org/package/2006/relationships"><Relationship Id="rId1" Type="http://schemas.microsoft.com/office/2006/relationships/activeXControlBinary" Target="activeX17.bin"/>
</Relationships>
</file>

<file path=word/activeX/_rels/activeX18.xml.rels><?xml version="1.0" encoding="UTF-8"?>
<Relationships xmlns="http://schemas.openxmlformats.org/package/2006/relationships"><Relationship Id="rId1" Type="http://schemas.microsoft.com/office/2006/relationships/activeXControlBinary" Target="activeX18.bin"/>
</Relationships>
</file>

<file path=word/activeX/_rels/activeX19.xml.rels><?xml version="1.0" encoding="UTF-8"?>
<Relationships xmlns="http://schemas.openxmlformats.org/package/2006/relationships"><Relationship Id="rId1" Type="http://schemas.microsoft.com/office/2006/relationships/activeXControlBinary" Target="activeX19.bin"/>
</Relationships>
</file>

<file path=word/activeX/_rels/activeX2.xml.rels><?xml version="1.0" encoding="UTF-8"?>
<Relationships xmlns="http://schemas.openxmlformats.org/package/2006/relationships"><Relationship Id="rId1" Type="http://schemas.microsoft.com/office/2006/relationships/activeXControlBinary" Target="activeX2.bin"/>
</Relationships>
</file>

<file path=word/activeX/_rels/activeX3.xml.rels><?xml version="1.0" encoding="UTF-8"?>
<Relationships xmlns="http://schemas.openxmlformats.org/package/2006/relationships"><Relationship Id="rId1" Type="http://schemas.microsoft.com/office/2006/relationships/activeXControlBinary" Target="activeX3.bin"/>
</Relationships>
</file>

<file path=word/activeX/_rels/activeX4.xml.rels><?xml version="1.0" encoding="UTF-8"?>
<Relationships xmlns="http://schemas.openxmlformats.org/package/2006/relationships"><Relationship Id="rId1" Type="http://schemas.microsoft.com/office/2006/relationships/activeXControlBinary" Target="activeX4.bin"/>
</Relationships>
</file>

<file path=word/activeX/_rels/activeX5.xml.rels><?xml version="1.0" encoding="UTF-8"?>
<Relationships xmlns="http://schemas.openxmlformats.org/package/2006/relationships"><Relationship Id="rId1" Type="http://schemas.microsoft.com/office/2006/relationships/activeXControlBinary" Target="activeX5.bin"/>
</Relationships>
</file>

<file path=word/activeX/_rels/activeX6.xml.rels><?xml version="1.0" encoding="UTF-8"?>
<Relationships xmlns="http://schemas.openxmlformats.org/package/2006/relationships"><Relationship Id="rId1" Type="http://schemas.microsoft.com/office/2006/relationships/activeXControlBinary" Target="activeX6.bin"/>
</Relationships>
</file>

<file path=word/activeX/_rels/activeX7.xml.rels><?xml version="1.0" encoding="UTF-8"?>
<Relationships xmlns="http://schemas.openxmlformats.org/package/2006/relationships"><Relationship Id="rId1" Type="http://schemas.microsoft.com/office/2006/relationships/activeXControlBinary" Target="activeX7.bin"/>
</Relationships>
</file>

<file path=word/activeX/_rels/activeX8.xml.rels><?xml version="1.0" encoding="UTF-8"?>
<Relationships xmlns="http://schemas.openxmlformats.org/package/2006/relationships"><Relationship Id="rId1" Type="http://schemas.microsoft.com/office/2006/relationships/activeXControlBinary" Target="activeX8.bin"/>
</Relationships>
</file>

<file path=word/activeX/_rels/activeX9.xml.rels><?xml version="1.0" encoding="UTF-8"?>
<Relationships xmlns="http://schemas.openxmlformats.org/package/2006/relationships"><Relationship Id="rId1" Type="http://schemas.microsoft.com/office/2006/relationships/activeXControlBinary" Target="activeX9.bin"/>
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Textsubstituen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Textsubstituen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Textsubstituen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141956"/>
    <w:rsid w:val="00222793"/>
    <w:rsid w:val="003F5C13"/>
    <w:rsid w:val="004E1BBC"/>
    <w:rsid w:val="006168F2"/>
    <w:rsid w:val="006A5360"/>
    <w:rsid w:val="007313BE"/>
    <w:rsid w:val="00795F44"/>
    <w:rsid w:val="00903FED"/>
    <w:rsid w:val="00965B86"/>
    <w:rsid w:val="00A365C9"/>
    <w:rsid w:val="00B54211"/>
    <w:rsid w:val="00B92C79"/>
    <w:rsid w:val="00BD1FD8"/>
    <w:rsid w:val="00C344D3"/>
    <w:rsid w:val="00CB58D2"/>
    <w:rsid w:val="00D120ED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r="http://schemas.openxmlformats.org/officeDocument/2006/relationships" name="Temă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itchFamily="0" charset="1"/>
        <a:ea typeface=""/>
        <a:cs typeface=""/>
      </a:majorFont>
      <a:minorFont>
        <a:latin typeface="Aptos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51cfe6-1a4b-44b8-ae94-033e21c21aad">
      <Terms xmlns="http://schemas.microsoft.com/office/infopath/2007/PartnerControls"/>
    </lcf76f155ced4ddcb4097134ff3c332f>
    <TaxCatchAll xmlns="6ada5c2b-2e54-4f0e-b9bc-0e4530f93c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489CC73F854BA3019D456F54AC3E" ma:contentTypeVersion="17" ma:contentTypeDescription="Create a new document." ma:contentTypeScope="" ma:versionID="740cf9a7c01b29ba28e22939513690eb">
  <xsd:schema xmlns:xsd="http://www.w3.org/2001/XMLSchema" xmlns:xs="http://www.w3.org/2001/XMLSchema" xmlns:p="http://schemas.microsoft.com/office/2006/metadata/properties" xmlns:ns2="6d51cfe6-1a4b-44b8-ae94-033e21c21aad" xmlns:ns3="6ada5c2b-2e54-4f0e-b9bc-0e4530f93cda" targetNamespace="http://schemas.microsoft.com/office/2006/metadata/properties" ma:root="true" ma:fieldsID="050df7a633d6441fbab708c3e3976b91" ns2:_="" ns3:_="">
    <xsd:import namespace="6d51cfe6-1a4b-44b8-ae94-033e21c21aad"/>
    <xsd:import namespace="6ada5c2b-2e54-4f0e-b9bc-0e4530f93c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1cfe6-1a4b-44b8-ae94-033e21c21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a5c2b-2e54-4f0e-b9bc-0e4530f93cd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347980d-28b4-49b7-b34b-dab1aee0e1eb}" ma:internalName="TaxCatchAll" ma:showField="CatchAllData" ma:web="6ada5c2b-2e54-4f0e-b9bc-0e4530f93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FE65BF-944F-452D-BA84-BA2A82E4FA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A3F41D-B834-408F-8EFD-1C0C09C67298}"/>
</file>

<file path=customXml/itemProps3.xml><?xml version="1.0" encoding="utf-8"?>
<ds:datastoreItem xmlns:ds="http://schemas.openxmlformats.org/officeDocument/2006/customXml" ds:itemID="{362BF3B0-2590-4161-B177-5CD581AD658C}"/>
</file>

<file path=customXml/itemProps4.xml><?xml version="1.0" encoding="utf-8"?>
<ds:datastoreItem xmlns:ds="http://schemas.openxmlformats.org/officeDocument/2006/customXml" ds:itemID="{C8106100-4CF6-4CFF-8BE8-8249AFBF2A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Application>LibreOffice/24.2.7.2$Windows_X86_64 LibreOffice_project/ee3885777aa7032db5a9b65deec9457448a91162</Application>
  <AppVersion>15.0000</AppVersion>
  <Pages>5</Pages>
  <Words>1419</Words>
  <Characters>10609</Characters>
  <CharactersWithSpaces>11802</CharactersWithSpaces>
  <Paragraphs>292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2025-10-27T11:44:00Z</dcterms:created>
  <dc:creator>Patricia-Georgiana Rechisan</dc:creator>
  <dc:description/>
  <dc:language>hu-HU</dc:language>
  <cp:lastModifiedBy/>
  <dcterms:modified xsi:type="dcterms:W3CDTF">2026-04-24T07:37:29Z</dcterms:modified>
  <cp:revision>127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0x01010043E8489CC73F854BA3019D456F54AC3E</vt:lpwstr>
  </property>
</Properties>
</file>