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:rsidR="005233CB" w:rsidRPr="008A680E" w:rsidRDefault="00CD2F8E" w:rsidP="00034D14">
      <w:pPr>
        <w:jc w:val="center"/>
        <w:rPr>
          <w:rFonts w:ascii="Cambria" w:hAnsi="Cambria" w:cs="Times New Roman"/>
          <w:b/>
          <w:iCs/>
          <w:sz w:val="22"/>
          <w:szCs w:val="22"/>
          <w:lang w:val="hu-HU"/>
        </w:rPr>
      </w:pPr>
      <w:r w:rsidRPr="00CD2F8E">
        <w:rPr>
          <w:rFonts w:ascii="Cambria" w:hAnsi="Cambria" w:cs="Times New Roman"/>
          <w:b/>
          <w:iCs/>
          <w:sz w:val="22"/>
          <w:szCs w:val="22"/>
          <w:lang w:val="hu-HU"/>
        </w:rPr>
        <w:t>NEMFÉMEK KÉMIÁJA</w:t>
      </w:r>
    </w:p>
    <w:p w:rsidR="008A680E" w:rsidRPr="001E4C21" w:rsidRDefault="005233CB" w:rsidP="008A680E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A680E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A680E" w:rsidRPr="00740932">
        <w:rPr>
          <w:rFonts w:ascii="Cambria" w:hAnsi="Cambria" w:cs="Times New Roman"/>
          <w:sz w:val="22"/>
          <w:szCs w:val="22"/>
          <w:lang w:val="hu-HU"/>
        </w:rPr>
        <w:t>2026-27</w:t>
      </w:r>
    </w:p>
    <w:p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</w:p>
    <w:p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:rsidR="00D70267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alapkképzés/licensz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/ vegyész diploma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jelenléti oktatás</w:t>
            </w:r>
          </w:p>
        </w:tc>
      </w:tr>
    </w:tbl>
    <w:p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:rsidTr="0098447E">
        <w:trPr>
          <w:trHeight w:val="284"/>
        </w:trPr>
        <w:tc>
          <w:tcPr>
            <w:tcW w:w="2293" w:type="dxa"/>
            <w:vAlign w:val="center"/>
          </w:tcPr>
          <w:p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:rsidR="008F5E28" w:rsidRPr="001E4C21" w:rsidRDefault="00CD2F8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CD2F8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Nemfémek kémiája</w:t>
            </w:r>
          </w:p>
        </w:tc>
        <w:tc>
          <w:tcPr>
            <w:tcW w:w="1843" w:type="dxa"/>
            <w:vAlign w:val="center"/>
          </w:tcPr>
          <w:p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:rsidR="008F5E28" w:rsidRPr="001E4C21" w:rsidRDefault="00CD2F8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CD2F8E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CLM1121</w:t>
            </w:r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vegyészmérnök, adjunktus</w:t>
            </w:r>
          </w:p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CD2F8E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CD2F8E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:rsidR="00957F04" w:rsidRPr="001E4C21" w:rsidRDefault="00CD2F8E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CD2F8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CD2F8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CD2F8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1E4C21" w:rsidTr="00195FC3">
        <w:trPr>
          <w:trHeight w:val="284"/>
        </w:trPr>
        <w:tc>
          <w:tcPr>
            <w:tcW w:w="3539" w:type="dxa"/>
            <w:vAlign w:val="center"/>
          </w:tcPr>
          <w:p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:rsidR="004E578B" w:rsidRPr="001E4C21" w:rsidRDefault="00CD2F8E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:rsidR="004E578B" w:rsidRPr="001E4C21" w:rsidRDefault="00CD2F8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:rsidR="004E578B" w:rsidRPr="001E4C21" w:rsidRDefault="00CD2F8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CD2F8E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CD2F8E" w:rsidRPr="001E4C21" w:rsidRDefault="00CD2F8E" w:rsidP="00CD2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:rsidR="00CD2F8E" w:rsidRPr="00744F1A" w:rsidRDefault="00CD2F8E" w:rsidP="00CD2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</w:tr>
      <w:tr w:rsidR="00CD2F8E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CD2F8E" w:rsidRPr="001E4C21" w:rsidRDefault="00CD2F8E" w:rsidP="00CD2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:rsidR="00CD2F8E" w:rsidRPr="00744F1A" w:rsidRDefault="00CD2F8E" w:rsidP="00CD2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</w:tr>
      <w:tr w:rsidR="00CD2F8E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CD2F8E" w:rsidRPr="001E4C21" w:rsidRDefault="00CD2F8E" w:rsidP="00CD2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:rsidR="00CD2F8E" w:rsidRPr="001E4C21" w:rsidRDefault="00CD2F8E" w:rsidP="00CD2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:rsidR="00CD2F8E" w:rsidRPr="00744F1A" w:rsidRDefault="00CD2F8E" w:rsidP="00CD2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CD2F8E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CD2F8E" w:rsidRPr="001E4C21" w:rsidRDefault="00CD2F8E" w:rsidP="00CD2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:rsidR="00CD2F8E" w:rsidRPr="00744F1A" w:rsidRDefault="00CD2F8E" w:rsidP="00CD2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7</w:t>
            </w:r>
          </w:p>
        </w:tc>
      </w:tr>
      <w:tr w:rsidR="00CD2F8E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CD2F8E" w:rsidRPr="001E4C21" w:rsidRDefault="00CD2F8E" w:rsidP="00CD2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:rsidR="00CD2F8E" w:rsidRPr="00744F1A" w:rsidRDefault="00CD2F8E" w:rsidP="00CD2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54456A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54456A" w:rsidRPr="001E4C21" w:rsidRDefault="0054456A" w:rsidP="008A680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:rsidTr="00467ACB">
        <w:trPr>
          <w:trHeight w:val="284"/>
        </w:trPr>
        <w:tc>
          <w:tcPr>
            <w:tcW w:w="8784" w:type="dxa"/>
            <w:gridSpan w:val="5"/>
          </w:tcPr>
          <w:p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:rsidR="00467ACB" w:rsidRPr="001E4C21" w:rsidRDefault="00CD2F8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83</w:t>
            </w:r>
          </w:p>
        </w:tc>
      </w:tr>
      <w:tr w:rsidR="00467ACB" w:rsidRPr="001E4C21" w:rsidTr="00467ACB">
        <w:trPr>
          <w:trHeight w:val="284"/>
        </w:trPr>
        <w:tc>
          <w:tcPr>
            <w:tcW w:w="8784" w:type="dxa"/>
            <w:gridSpan w:val="5"/>
          </w:tcPr>
          <w:p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:rsidR="00467ACB" w:rsidRPr="001E4C21" w:rsidRDefault="00CD2F8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:rsidTr="00467ACB">
        <w:trPr>
          <w:trHeight w:val="284"/>
        </w:trPr>
        <w:tc>
          <w:tcPr>
            <w:tcW w:w="8784" w:type="dxa"/>
            <w:gridSpan w:val="5"/>
          </w:tcPr>
          <w:p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:rsidR="00467ACB" w:rsidRPr="001E4C21" w:rsidRDefault="00CD2F8E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:rsidR="00221B6D" w:rsidRPr="001E4C21" w:rsidRDefault="00CD2F8E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:rsidR="00221B6D" w:rsidRPr="001E4C21" w:rsidRDefault="00CD2F8E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:rsidR="008A680E" w:rsidRPr="008A680E" w:rsidRDefault="008A680E" w:rsidP="00CD2F8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Tábla és kivetítő a teremben</w:t>
            </w:r>
          </w:p>
          <w:p w:rsidR="008A680E" w:rsidRPr="008A680E" w:rsidRDefault="008A680E" w:rsidP="00CD2F8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</w:t>
            </w:r>
          </w:p>
          <w:p w:rsidR="00844EAD" w:rsidRPr="008A680E" w:rsidRDefault="008A680E" w:rsidP="00CD2F8E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interaktív részvétel ösztönzése.</w:t>
            </w:r>
          </w:p>
        </w:tc>
      </w:tr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:rsidR="00CD2F8E" w:rsidRPr="00CD2F8E" w:rsidRDefault="00CD2F8E" w:rsidP="00CD2F8E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D2F8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Tábla és kivetítő a teremben</w:t>
            </w:r>
          </w:p>
          <w:p w:rsidR="00CD2F8E" w:rsidRPr="00CD2F8E" w:rsidRDefault="00CD2F8E" w:rsidP="00CD2F8E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D2F8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</w:t>
            </w:r>
          </w:p>
          <w:p w:rsidR="00844EAD" w:rsidRPr="00CD2F8E" w:rsidRDefault="00CD2F8E" w:rsidP="00CD2F8E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14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D2F8E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interaktív részvétel ösztönzése.</w:t>
            </w:r>
          </w:p>
        </w:tc>
      </w:tr>
    </w:tbl>
    <w:p w:rsidR="00C46D4A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CD2F8E" w:rsidRPr="001E4C21" w:rsidRDefault="00CD2F8E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lastRenderedPageBreak/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CD2F8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:rsidR="00ED2FBF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Vegyi anyagok/minták elemzése</w:t>
            </w:r>
          </w:p>
        </w:tc>
      </w:tr>
      <w:tr w:rsidR="005513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CD2F8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:rsidR="0055138F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Tudományos módszerek alkalmazása a kémiai vegyületek összetételének, szerkezetének és fizikai-kémiai tulajdonságainak meghatározására.</w:t>
            </w:r>
          </w:p>
        </w:tc>
      </w:tr>
      <w:tr w:rsidR="00ED2FBF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CD2F8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:rsidR="000315BD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szakterületre vonatkozó jogszabályok és etikai szabályok tiszteletben tartása, minősített segítséggel.</w:t>
            </w:r>
          </w:p>
        </w:tc>
      </w:tr>
      <w:tr w:rsidR="000315BD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CD2F8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:rsidR="000315BD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260978" w:rsidRPr="001E4C21" w:rsidRDefault="00CD2F8E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CP2</w:t>
            </w:r>
          </w:p>
        </w:tc>
        <w:tc>
          <w:tcPr>
            <w:tcW w:w="4678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megérti és kidolgozza a fizikai-kémiai elemzés stratégiáit az analitikai elválasztási technikák spektroszkópiai, számítási módszerekkel és kemometriai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:rsidR="00260978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hallgató/diplomás komplex mintákat dolgoz fel és elemez spektrokémiai módszerekkel, és molekuláris szerkezeteket validál a kísérleti eredmények digitális szimulációk során generált elméleti modellekkel való integrálásával.</w:t>
            </w:r>
          </w:p>
        </w:tc>
      </w:tr>
      <w:tr w:rsidR="00260978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260978" w:rsidRPr="001E4C21" w:rsidRDefault="00CD2F8E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CP3</w:t>
            </w:r>
          </w:p>
        </w:tc>
        <w:tc>
          <w:tcPr>
            <w:tcW w:w="4678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 kémiai szerkezet-reaktivitás kapcsolatok összetett természetét értékeli a kémiai kötés, az elektronkonfiguráció és a molekuláris geometria alapfogalmainak összefüggésbe hozásával, hogy meghatározza a kémiai vegyületek reakciómechanizmusait, stabilitását és alkalmazhatóságát.</w:t>
            </w:r>
          </w:p>
        </w:tc>
        <w:tc>
          <w:tcPr>
            <w:tcW w:w="4253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kísérleteket és számítási meghatározásokat végez a kémiai szerkezet-reaktivitás összefüggés meghatározása érdekében, a kapott adatok felhasználásával előrejelzi az új kémiai kombinációk fizikai-kémiai tulajdonságait és lehetséges felhasználását.</w:t>
            </w:r>
          </w:p>
        </w:tc>
      </w:tr>
      <w:tr w:rsidR="00260978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260978" w:rsidRPr="001E4C21" w:rsidRDefault="00CD2F8E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CT1</w:t>
            </w:r>
          </w:p>
        </w:tc>
        <w:tc>
          <w:tcPr>
            <w:tcW w:w="4678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leírja a kémiai elemek, valamint vegyületeik szerkezetét, tulajdonságait és reakcióképességét, hogy a kémia területén szerzett ismereteit helyesen, tudományos módon tudja átadni a tanulóknak, diákoknak és más érdeklődő társadalmi-gazdasági kategóriáknak.</w:t>
            </w:r>
          </w:p>
        </w:tc>
        <w:tc>
          <w:tcPr>
            <w:tcW w:w="4253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értékeli és bemutatja a kémiai elemek és vegyületek szerkezeti jellemzőit, és a tudást a különböző eljárásokkal előállított kémiai vegyületek szerkezeti jellemzéséhez, tulajdonságainak és kémiai reakcióképességének tanulmányozásához alkalmazza.</w:t>
            </w:r>
          </w:p>
        </w:tc>
      </w:tr>
      <w:tr w:rsidR="00260978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260978" w:rsidRPr="001E4C21" w:rsidRDefault="00CD2F8E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678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azonosítja és leírja a kémiai vegyületek elemzésében és jellemzésében alkalmazott alapvető és modern kísérleti technikákat.</w:t>
            </w:r>
          </w:p>
        </w:tc>
        <w:tc>
          <w:tcPr>
            <w:tcW w:w="4253" w:type="dxa"/>
            <w:vAlign w:val="center"/>
          </w:tcPr>
          <w:p w:rsidR="00260978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kísérleti technikákat értékel és elemez kísérletek tervezése és lebonyolítása, valamint komplex elemzések és tesztek (kvalitatív és kvantitatív) elvégzése céljából.</w:t>
            </w:r>
          </w:p>
        </w:tc>
      </w:tr>
    </w:tbl>
    <w:p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CD2F8E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CD2F8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077A65">
              <w:rPr>
                <w:rFonts w:ascii="Cambria" w:hAnsi="Cambria"/>
                <w:bCs/>
                <w:sz w:val="20"/>
                <w:szCs w:val="20"/>
              </w:rPr>
              <w:t>A szervetlen vegyületek szerkezetére és reakcióképességére vonatkozó elemi fogalmak, megközelítések, elméletek, módszerek és modellek felismerése és leírása</w:t>
            </w:r>
          </w:p>
        </w:tc>
      </w:tr>
      <w:tr w:rsidR="00CD2F8E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CD2F8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077A65">
              <w:rPr>
                <w:rFonts w:ascii="Cambria" w:hAnsi="Cambria"/>
                <w:bCs/>
                <w:sz w:val="20"/>
                <w:szCs w:val="20"/>
              </w:rPr>
              <w:t>Szervetlen kémiai vegyületek szerkezetével és reakcióképességével kapcsolatos néhány tulajdonság, fogalom, megközelítés, elmélet, modell és alapvető fogalmak magyarázata és értelmezése.</w:t>
            </w:r>
          </w:p>
        </w:tc>
      </w:tr>
      <w:tr w:rsidR="00CD2F8E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CD2F8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077A65">
              <w:rPr>
                <w:rFonts w:ascii="Cambria" w:hAnsi="Cambria"/>
                <w:bCs/>
                <w:sz w:val="20"/>
                <w:szCs w:val="20"/>
              </w:rPr>
              <w:t>Alapfogalmak alkalmazása szervetlen kémiai vegyületek szerkezetével és reakcióképességével kapcsolatos problémák megoldására.</w:t>
            </w:r>
          </w:p>
        </w:tc>
      </w:tr>
      <w:tr w:rsidR="002C22AA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CD2F8E" w:rsidRPr="001E4C21" w:rsidTr="00D256AF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D256AF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1.  </w:t>
            </w:r>
            <w:r w:rsidRPr="00077A65">
              <w:rPr>
                <w:rFonts w:ascii="Cambria" w:hAnsi="Cambria"/>
                <w:bCs/>
                <w:sz w:val="20"/>
                <w:szCs w:val="20"/>
              </w:rPr>
              <w:t>A hallgatók megismertetése a szervetlen kémia alapfogalmaival, koncepcióival, elméleteivel és alapvető modelljeivel.</w:t>
            </w:r>
          </w:p>
        </w:tc>
      </w:tr>
      <w:tr w:rsidR="00CD2F8E" w:rsidRPr="001E4C21" w:rsidTr="00D256AF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D256AF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2.  </w:t>
            </w:r>
            <w:r w:rsidRPr="00077A65">
              <w:rPr>
                <w:rFonts w:ascii="Cambria" w:hAnsi="Cambria"/>
                <w:bCs/>
                <w:sz w:val="20"/>
                <w:szCs w:val="20"/>
              </w:rPr>
              <w:t>Alapvető elméleti ismeretek elsajátítása a nemfémes elemekről, valamint azok fizikai és kémiai tulajdonságairól. A nemfémes vegyületek kémiai és fizikai tulajdonságainak magyarázata szerkezetük alapján.</w:t>
            </w:r>
          </w:p>
        </w:tc>
      </w:tr>
      <w:tr w:rsidR="00CD2F8E" w:rsidRPr="001E4C21" w:rsidTr="00D256AF">
        <w:trPr>
          <w:cantSplit/>
          <w:trHeight w:val="340"/>
        </w:trPr>
        <w:tc>
          <w:tcPr>
            <w:tcW w:w="10491" w:type="dxa"/>
            <w:vAlign w:val="center"/>
          </w:tcPr>
          <w:p w:rsidR="00CD2F8E" w:rsidRPr="0056367D" w:rsidRDefault="00CD2F8E" w:rsidP="00D256AF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3.  </w:t>
            </w:r>
            <w:r w:rsidRPr="00077A65">
              <w:rPr>
                <w:rFonts w:ascii="Cambria" w:hAnsi="Cambria"/>
                <w:sz w:val="20"/>
                <w:szCs w:val="20"/>
              </w:rPr>
              <w:t>Gyakorlati ismeretek elsajátítása a szervetlen vegyületek, különösen a nemfémes származékok előállítására, jellemzésére és reakcióképességének meghatározására alkalmazott kísérleti módszerekkel és eljárásokkal kapcsolatban.</w:t>
            </w:r>
          </w:p>
        </w:tc>
      </w:tr>
    </w:tbl>
    <w:p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:rsidTr="007730F9">
        <w:trPr>
          <w:trHeight w:val="397"/>
        </w:trPr>
        <w:tc>
          <w:tcPr>
            <w:tcW w:w="3779" w:type="dxa"/>
            <w:vAlign w:val="center"/>
          </w:tcPr>
          <w:p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8.1.1. A nemfémek és félfémek előfordulása a természetben.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8.1.2. Nemfémek előállítása – általános módszerek.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>8.1.3. Nemfémek molekuláris és kristály-szerkezete. Allotrópia. Fizikai tulajdonságok.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8.1.4. </w:t>
            </w:r>
            <w:r w:rsidRPr="00B51129">
              <w:rPr>
                <w:rFonts w:ascii="Cambria" w:hAnsi="Cambria"/>
                <w:sz w:val="20"/>
                <w:szCs w:val="20"/>
              </w:rPr>
              <w:t>17-16 csoportok nemfémeinek hidrogén-vegyületei: szerkezet, előállítás, tulajdonságok.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>8.1.5</w:t>
            </w:r>
            <w:r w:rsidRPr="00B51129">
              <w:rPr>
                <w:rFonts w:ascii="Cambria" w:hAnsi="Cambria"/>
                <w:sz w:val="20"/>
                <w:szCs w:val="20"/>
              </w:rPr>
              <w:t>. 15-14 csoportok nemfémeinek hidrogén-vegyületei: szerkezet, előállítás, tulajdonságok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8.1.6. </w:t>
            </w:r>
            <w:r w:rsidRPr="00B51129">
              <w:rPr>
                <w:rFonts w:ascii="Cambria" w:hAnsi="Cambria"/>
                <w:sz w:val="20"/>
                <w:szCs w:val="20"/>
              </w:rPr>
              <w:t>A bór hidrogén-vegyületei: szerkezet, előállítás, tulajdonságok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>8.1.7. Interhalogének:</w:t>
            </w:r>
            <w:r w:rsidRPr="00B51129">
              <w:rPr>
                <w:rFonts w:ascii="Cambria" w:hAnsi="Cambria"/>
                <w:sz w:val="20"/>
                <w:szCs w:val="20"/>
              </w:rPr>
              <w:t xml:space="preserve"> szerkezet, előállítás, tulajdonságok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8.1.8. Nemfémek halogén-vegyületei: </w:t>
            </w:r>
            <w:r w:rsidRPr="00B51129">
              <w:rPr>
                <w:rFonts w:ascii="Cambria" w:hAnsi="Cambria"/>
                <w:sz w:val="20"/>
                <w:szCs w:val="20"/>
              </w:rPr>
              <w:t>szerkezet, előállítás, tulajdonságok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8.1.9. </w:t>
            </w:r>
            <w:r w:rsidRPr="00B51129">
              <w:rPr>
                <w:rFonts w:ascii="Cambria" w:hAnsi="Cambria"/>
                <w:sz w:val="20"/>
                <w:szCs w:val="20"/>
              </w:rPr>
              <w:t>17-16 csoportok nemfémeinek oxigén-vegyületei: szerkezet, előállítás, tulajdonságok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8.1.10. </w:t>
            </w:r>
            <w:r w:rsidRPr="00B51129">
              <w:rPr>
                <w:rFonts w:ascii="Cambria" w:hAnsi="Cambria"/>
                <w:sz w:val="20"/>
                <w:szCs w:val="20"/>
              </w:rPr>
              <w:t>15-13 csoportok nemfémeinek oxigén-vegyületei: szerkezet, előállítás, tulajdonságok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8.1.11. </w:t>
            </w:r>
            <w:r w:rsidRPr="00B51129">
              <w:rPr>
                <w:rFonts w:ascii="Cambria" w:hAnsi="Cambria"/>
                <w:sz w:val="20"/>
                <w:szCs w:val="20"/>
              </w:rPr>
              <w:t>Halogének oxosavai: szerkezet, előállítás, tulajdonságok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8.1.12. </w:t>
            </w:r>
            <w:r w:rsidRPr="00B51129">
              <w:rPr>
                <w:rFonts w:ascii="Cambria" w:hAnsi="Cambria"/>
                <w:sz w:val="20"/>
                <w:szCs w:val="20"/>
              </w:rPr>
              <w:t>Kalkogének oxosavai: szerkezet, előállítás, tulajdonságok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</w:rPr>
              <w:t>8.1.13. 15-13 csoportok nemfémeinek oxosavai: szerkezet, előállítás, tulajdonságok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B51129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130E78">
        <w:trPr>
          <w:trHeight w:val="397"/>
        </w:trPr>
        <w:tc>
          <w:tcPr>
            <w:tcW w:w="3779" w:type="dxa"/>
          </w:tcPr>
          <w:p w:rsidR="00CD2F8E" w:rsidRPr="00B51129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51129">
              <w:rPr>
                <w:rFonts w:ascii="Cambria" w:hAnsi="Cambria"/>
                <w:sz w:val="20"/>
                <w:szCs w:val="20"/>
              </w:rPr>
              <w:t>8.1.14. Nemesg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 xml:space="preserve">áz-vegyületek. </w:t>
            </w:r>
            <w:r w:rsidRPr="00B51129">
              <w:rPr>
                <w:rFonts w:ascii="Cambria" w:hAnsi="Cambria"/>
                <w:sz w:val="20"/>
                <w:szCs w:val="20"/>
              </w:rPr>
              <w:t>Szervetlen gyűrűk és polimerek. Szerkezet, előállítás, tulajdonságok</w:t>
            </w:r>
            <w:r w:rsidRPr="00B51129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1444B8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D2F8E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CD2F8E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CD2F8E" w:rsidRPr="001244EC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4EC">
              <w:rPr>
                <w:rFonts w:ascii="Cambria" w:hAnsi="Cambria"/>
                <w:sz w:val="20"/>
                <w:szCs w:val="20"/>
              </w:rPr>
              <w:t>1. N. N. Greenwood, A. Earnshaw: Az elemek kémiája, Tankönyvkiadó, Budapest, 1999.</w:t>
            </w:r>
          </w:p>
          <w:p w:rsidR="00CD2F8E" w:rsidRPr="001244EC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4EC">
              <w:rPr>
                <w:rFonts w:ascii="Cambria" w:hAnsi="Cambria"/>
                <w:sz w:val="20"/>
                <w:szCs w:val="20"/>
              </w:rPr>
              <w:t>2. Gh. Marcu, M. Rusu, V. Coman: Chimie anorganică. Nemetale şi semimetale. Ed. Eikon. Cluj-Napoca. 2004.</w:t>
            </w:r>
          </w:p>
          <w:p w:rsidR="00CD2F8E" w:rsidRPr="001244EC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4EC">
              <w:rPr>
                <w:rFonts w:ascii="Cambria" w:hAnsi="Cambria"/>
                <w:sz w:val="20"/>
                <w:szCs w:val="20"/>
              </w:rPr>
              <w:lastRenderedPageBreak/>
              <w:t>3. C. D. Neniţescu: Chimie generală, Editura Didactică şi Pedagogică, Bucureşti. 1985.</w:t>
            </w:r>
          </w:p>
          <w:p w:rsidR="00CD2F8E" w:rsidRPr="001244EC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244EC">
              <w:rPr>
                <w:rFonts w:ascii="Cambria" w:hAnsi="Cambria"/>
                <w:sz w:val="20"/>
                <w:szCs w:val="20"/>
              </w:rPr>
              <w:t>4. D. F. Shriver, P. W. Atkins, C. H. Langford, Chimie Anorganică, Editura Tehnică, Bucureşti, 1998.</w:t>
            </w:r>
          </w:p>
          <w:p w:rsidR="00CD2F8E" w:rsidRPr="001E4C21" w:rsidRDefault="00CD2F8E" w:rsidP="00CD2F8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244EC">
              <w:rPr>
                <w:rFonts w:ascii="Cambria" w:hAnsi="Cambria"/>
                <w:sz w:val="20"/>
                <w:szCs w:val="20"/>
              </w:rPr>
              <w:t>5. E. Bodor, Szervetlen kémia 1, Tankönyvkiadó, Budapest, 1988.</w:t>
            </w:r>
          </w:p>
        </w:tc>
      </w:tr>
      <w:tr w:rsidR="00CD2F8E" w:rsidRPr="001E4C21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D2F8E" w:rsidRPr="001E4C21" w:rsidTr="007730F9">
        <w:trPr>
          <w:trHeight w:val="397"/>
        </w:trPr>
        <w:tc>
          <w:tcPr>
            <w:tcW w:w="3779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sztöchiometriai számítások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nemfémes elemek szerkezete és előállítása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sztöchiometriai számítások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nemfémes hidridek szerkezete, előállítása és tulajdonságai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nemfémes halogénvegyületek szerkezete, előállítása és tulajdonságai 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nemfémes oxidok szerkezete, előállítása és tulajdonságai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D256AF">
        <w:trPr>
          <w:trHeight w:val="397"/>
        </w:trPr>
        <w:tc>
          <w:tcPr>
            <w:tcW w:w="3779" w:type="dxa"/>
            <w:vAlign w:val="center"/>
          </w:tcPr>
          <w:p w:rsidR="00CD2F8E" w:rsidRPr="00C02345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oxosavak szerkezete, előállítása és tulajdonságai</w:t>
            </w:r>
          </w:p>
        </w:tc>
        <w:tc>
          <w:tcPr>
            <w:tcW w:w="3420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Magyarázat, beszélgetés, példák megoldása, esettanulmány</w:t>
            </w:r>
          </w:p>
        </w:tc>
        <w:tc>
          <w:tcPr>
            <w:tcW w:w="3292" w:type="dxa"/>
            <w:vAlign w:val="center"/>
          </w:tcPr>
          <w:p w:rsidR="00CD2F8E" w:rsidRPr="001E4C21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 hetente 2 óra</w:t>
            </w:r>
          </w:p>
        </w:tc>
      </w:tr>
      <w:tr w:rsidR="00CD2F8E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CD2F8E" w:rsidRDefault="00CD2F8E" w:rsidP="00CD2F8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CD2F8E" w:rsidRPr="001444B8" w:rsidRDefault="00CD2F8E" w:rsidP="00CD2F8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1. L. Ghizdavu, M. Rusu, M. Somay, Lucrări practice de chimie anorganică. Universitatea „Babeş-Bolyai”,</w:t>
            </w:r>
          </w:p>
          <w:p w:rsidR="00CD2F8E" w:rsidRPr="001444B8" w:rsidRDefault="00CD2F8E" w:rsidP="00CD2F8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Cluj-Napoca, 1984.</w:t>
            </w: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ab/>
            </w:r>
          </w:p>
          <w:p w:rsidR="00CD2F8E" w:rsidRPr="001E4C21" w:rsidRDefault="00CD2F8E" w:rsidP="00CD2F8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444B8">
              <w:rPr>
                <w:rFonts w:ascii="Cambria" w:hAnsi="Cambria"/>
                <w:sz w:val="20"/>
                <w:szCs w:val="20"/>
                <w:lang w:val="hu-HU"/>
              </w:rPr>
              <w:t>2. B. Lengyel, Általános és szervetlen kémiai praktikum, Tankönyvkiadó, Budapest. 1990.</w:t>
            </w:r>
          </w:p>
        </w:tc>
      </w:tr>
    </w:tbl>
    <w:p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:rsidTr="009644EC">
        <w:trPr>
          <w:trHeight w:val="284"/>
        </w:trPr>
        <w:tc>
          <w:tcPr>
            <w:tcW w:w="2269" w:type="dxa"/>
            <w:vAlign w:val="center"/>
          </w:tcPr>
          <w:p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D2F8E" w:rsidRPr="001E4C21" w:rsidTr="00EC783C">
        <w:trPr>
          <w:trHeight w:val="2814"/>
        </w:trPr>
        <w:tc>
          <w:tcPr>
            <w:tcW w:w="2269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:rsidR="00CD2F8E" w:rsidRPr="00077A65" w:rsidRDefault="00CD2F8E" w:rsidP="00D256AF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A javasolt témákra adott válaszok helyessége, amelyek tükrözik a kurzus témájában megszerzett ismereteket.</w:t>
            </w:r>
          </w:p>
          <w:p w:rsidR="00CD2F8E" w:rsidRPr="001244EC" w:rsidRDefault="00CD2F8E" w:rsidP="00D256AF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>a feladatok h</w:t>
            </w: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el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yes megoldása </w:t>
            </w:r>
          </w:p>
        </w:tc>
        <w:tc>
          <w:tcPr>
            <w:tcW w:w="2693" w:type="dxa"/>
            <w:vAlign w:val="center"/>
          </w:tcPr>
          <w:p w:rsidR="00CD2F8E" w:rsidRPr="00077A65" w:rsidRDefault="00CD2F8E" w:rsidP="00D256AF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Írásbeli vizsga – a vizsgán való részvétel feltétele a szemináriumon/laboratóriumban legalább 80%-os részvétel.</w:t>
            </w:r>
          </w:p>
          <w:p w:rsidR="00CD2F8E" w:rsidRPr="00357598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A vizsga során elkövetett csalás szándéka a vizsgáról való kizárással büntetendő. A vizsga során elkövetett csalás a szabályzatnak megfelelően kizárással büntetendő</w:t>
            </w:r>
          </w:p>
        </w:tc>
        <w:tc>
          <w:tcPr>
            <w:tcW w:w="2695" w:type="dxa"/>
            <w:vAlign w:val="center"/>
          </w:tcPr>
          <w:p w:rsidR="00CD2F8E" w:rsidRPr="00357598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="00CD2F8E" w:rsidRPr="001E4C21" w:rsidTr="003D2391">
        <w:trPr>
          <w:trHeight w:val="938"/>
        </w:trPr>
        <w:tc>
          <w:tcPr>
            <w:tcW w:w="2269" w:type="dxa"/>
            <w:vAlign w:val="center"/>
          </w:tcPr>
          <w:p w:rsidR="00CD2F8E" w:rsidRPr="001E4C21" w:rsidRDefault="00CD2F8E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:rsidR="00CD2F8E" w:rsidRPr="001E4C21" w:rsidRDefault="00CD2F8E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:rsidR="00CD2F8E" w:rsidRPr="00357598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A válaszok helyessége – a tárgyalt kérdések helyes elsajátítása és megértése. Szemináriumi tevékenység</w:t>
            </w:r>
          </w:p>
        </w:tc>
        <w:tc>
          <w:tcPr>
            <w:tcW w:w="2693" w:type="dxa"/>
            <w:vAlign w:val="center"/>
          </w:tcPr>
          <w:p w:rsidR="00CD2F8E" w:rsidRPr="00357598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77A65">
              <w:rPr>
                <w:rFonts w:ascii="Cambria" w:eastAsia="Aptos" w:hAnsi="Cambria" w:cs="Times New Roman"/>
                <w:sz w:val="20"/>
                <w:szCs w:val="20"/>
              </w:rPr>
              <w:t>Szemináriumi tevékenység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. A kapott feladatok helyes megoldása. </w:t>
            </w:r>
          </w:p>
        </w:tc>
        <w:tc>
          <w:tcPr>
            <w:tcW w:w="2695" w:type="dxa"/>
            <w:vAlign w:val="center"/>
          </w:tcPr>
          <w:p w:rsidR="00CD2F8E" w:rsidRPr="00357598" w:rsidRDefault="00CD2F8E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CD2F8E" w:rsidRPr="001E4C21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CD2F8E" w:rsidRPr="001E4C21" w:rsidTr="00A5032D">
        <w:trPr>
          <w:trHeight w:val="284"/>
        </w:trPr>
        <w:tc>
          <w:tcPr>
            <w:tcW w:w="10492" w:type="dxa"/>
            <w:gridSpan w:val="4"/>
          </w:tcPr>
          <w:p w:rsidR="00CD2F8E" w:rsidRPr="001E4C21" w:rsidRDefault="00CD2F8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Minimum ötös (5) jegy elérése a vizsgán, a megoldókulcs szerint</w:t>
            </w:r>
          </w:p>
        </w:tc>
      </w:tr>
    </w:tbl>
    <w:p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A7B96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:rsidTr="00812545">
        <w:trPr>
          <w:trHeight w:val="1037"/>
        </w:trPr>
        <w:tc>
          <w:tcPr>
            <w:tcW w:w="1165" w:type="dxa"/>
            <w:vAlign w:val="center"/>
          </w:tcPr>
          <w:p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:rsidR="00812545" w:rsidRPr="001E4C21" w:rsidRDefault="005A024E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pt;height:18.5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:rsidTr="007C07D8">
        <w:trPr>
          <w:trHeight w:val="397"/>
        </w:trPr>
        <w:tc>
          <w:tcPr>
            <w:tcW w:w="1165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pt;height:18.55pt">
                  <v:imagedata r:id="rId9" o:title=""/>
                </v:shape>
              </w:pic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75BA7" w:rsidRPr="001E4C21" w:rsidTr="007C07D8">
        <w:trPr>
          <w:trHeight w:val="397"/>
        </w:trPr>
        <w:tc>
          <w:tcPr>
            <w:tcW w:w="1165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5A024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275BA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>
                <v:shape id="_x0000_i1045" type="#_x0000_t75" style="width:13.7pt;height:18.55pt" o:ole="">
                  <v:imagedata r:id="rId27" o:title=""/>
                </v:shape>
                <w:control r:id="rId28" w:name="OptionButton1161" w:shapeid="_x0000_i1045"/>
              </w:object>
            </w:r>
          </w:p>
        </w:tc>
      </w:tr>
    </w:tbl>
    <w:p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  <w:r w:rsidR="000F4679">
              <w:rPr>
                <w:rFonts w:ascii="Cambria" w:hAnsi="Cambria"/>
                <w:sz w:val="22"/>
                <w:szCs w:val="22"/>
                <w:lang w:val="hu-HU"/>
              </w:rPr>
              <w:t>2026.04.20</w:t>
            </w: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4AEA53E4" wp14:editId="1AA12693">
                  <wp:extent cx="552893" cy="419197"/>
                  <wp:effectExtent l="0" t="0" r="0" b="0"/>
                  <wp:docPr id="2" name="Picture 2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0DF4DED9" wp14:editId="0615E08F">
                  <wp:extent cx="552893" cy="419197"/>
                  <wp:effectExtent l="0" t="0" r="0" b="0"/>
                  <wp:docPr id="1" name="Picture 1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0F4679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="000F4679">
              <w:rPr>
                <w:rFonts w:ascii="Cambria" w:hAnsi="Cambria"/>
                <w:sz w:val="22"/>
                <w:szCs w:val="22"/>
                <w:lang w:val="hu-HU"/>
              </w:rPr>
              <w:t>2026.04.30</w:t>
            </w:r>
          </w:p>
        </w:tc>
        <w:tc>
          <w:tcPr>
            <w:tcW w:w="4967" w:type="dxa"/>
            <w:gridSpan w:val="2"/>
            <w:vAlign w:val="center"/>
          </w:tcPr>
          <w:p w:rsidR="005A024E" w:rsidRDefault="00DC248C" w:rsidP="004C6432">
            <w:pPr>
              <w:jc w:val="center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0F4679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</w:p>
          <w:p w:rsidR="00DC248C" w:rsidRPr="001E4C21" w:rsidRDefault="005A024E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5A024E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bookmarkStart w:id="0" w:name="_GoBack"/>
            <w:bookmarkEnd w:id="0"/>
            <w:r w:rsidR="000F4679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D55F334" wp14:editId="65600AAC">
                  <wp:extent cx="1066800" cy="495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458" w:rsidRDefault="00AE2458" w:rsidP="00D12BC3">
      <w:pPr>
        <w:spacing w:after="0" w:line="240" w:lineRule="auto"/>
      </w:pPr>
      <w:r>
        <w:separator/>
      </w:r>
    </w:p>
  </w:endnote>
  <w:end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458" w:rsidRDefault="00AE2458" w:rsidP="00D12BC3">
      <w:pPr>
        <w:spacing w:after="0" w:line="240" w:lineRule="auto"/>
      </w:pPr>
      <w:r>
        <w:separator/>
      </w:r>
    </w:p>
  </w:footnote>
  <w:foot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footnote>
  <w:footnote w:id="1">
    <w:p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0896"/>
    <w:multiLevelType w:val="hybridMultilevel"/>
    <w:tmpl w:val="4CAE4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0748B"/>
    <w:multiLevelType w:val="hybridMultilevel"/>
    <w:tmpl w:val="7636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74DF3"/>
    <w:multiLevelType w:val="hybridMultilevel"/>
    <w:tmpl w:val="10107596"/>
    <w:lvl w:ilvl="0" w:tplc="EF1EFD9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4679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75BA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A024E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A680E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D2F8E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582F31C2"/>
  <w15:docId w15:val="{B26261A2-A9B1-41C4-80EB-B0649F25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control" Target="activeX/activeX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2.png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313BE"/>
    <w:rsid w:val="00795F44"/>
    <w:rsid w:val="00903FED"/>
    <w:rsid w:val="009E286A"/>
    <w:rsid w:val="00A365C9"/>
    <w:rsid w:val="00B54211"/>
    <w:rsid w:val="00B92C79"/>
    <w:rsid w:val="00BD1FD8"/>
    <w:rsid w:val="00C344D3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D6508-09E2-441E-9A0E-6C7B2BFBE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6</cp:revision>
  <dcterms:created xsi:type="dcterms:W3CDTF">2026-04-30T00:01:00Z</dcterms:created>
  <dcterms:modified xsi:type="dcterms:W3CDTF">2026-05-02T21:13:00Z</dcterms:modified>
</cp:coreProperties>
</file>